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 w:hint="cs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540592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  <w:vAlign w:val="center"/>
          </w:tcPr>
          <w:p w:rsidR="00EE35FA" w:rsidRPr="00C41829" w:rsidRDefault="00540592" w:rsidP="00540592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 w:rsidRPr="00ED294B">
              <w:rPr>
                <w:rFonts w:ascii="Candara" w:hAnsi="Candara" w:hint="cs"/>
                <w:bCs/>
                <w:caps/>
                <w:sz w:val="28"/>
                <w:szCs w:val="28"/>
                <w:rtl/>
                <w:lang w:eastAsia="fr-CA" w:bidi="ar-MA"/>
              </w:rPr>
              <w:t>الفلسفة الغربية والأسيوية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54059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ED294B">
              <w:rPr>
                <w:rFonts w:ascii="Candara" w:hAnsi="Candara" w:hint="cs"/>
                <w:bCs/>
                <w:caps/>
                <w:sz w:val="28"/>
                <w:szCs w:val="28"/>
                <w:rtl/>
                <w:lang w:eastAsia="fr-CA" w:bidi="ar-MA"/>
              </w:rPr>
              <w:t xml:space="preserve">الفلسفة الغربية </w:t>
            </w:r>
            <w:r>
              <w:rPr>
                <w:rFonts w:ascii="Candara" w:hAnsi="Candara" w:hint="cs"/>
                <w:bCs/>
                <w:caps/>
                <w:sz w:val="28"/>
                <w:szCs w:val="28"/>
                <w:rtl/>
                <w:lang w:eastAsia="fr-CA" w:bidi="ar-MA"/>
              </w:rPr>
              <w:t>والأسيوية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540592" w:rsidRDefault="0054059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 w:rsidRPr="00540592"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الفصل 1 أو الفصل 2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540592" w:rsidRDefault="0054059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وحدة عامة للانفتاح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540592" w:rsidRDefault="00540592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color w:val="000000" w:themeColor="text1"/>
                <w:rtl/>
                <w:lang w:eastAsia="fr-FR" w:bidi="ar-MA"/>
              </w:rPr>
              <w:t>3 أرصدة قياسية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540592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540592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000000" w:themeColor="text1"/>
                <w:lang w:eastAsia="fr-FR" w:bidi="ar-MA"/>
              </w:rPr>
            </w:pP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Pr="00540592" w:rsidRDefault="00EE35FA" w:rsidP="007E0EA4">
            <w:pPr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540592" w:rsidRPr="00ED294B" w:rsidRDefault="00540592" w:rsidP="00540592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rPr>
                <w:rFonts w:ascii="Candara" w:hAnsi="Candara"/>
                <w:b/>
                <w:bCs/>
                <w:rtl/>
                <w:lang w:eastAsia="fr-FR" w:bidi="ar-MA"/>
              </w:rPr>
            </w:pPr>
            <w:r w:rsidRPr="00ED294B">
              <w:rPr>
                <w:rFonts w:ascii="Candara" w:hAnsi="Candara" w:hint="cs"/>
                <w:b/>
                <w:bCs/>
                <w:rtl/>
                <w:lang w:eastAsia="fr-FR" w:bidi="ar-MA"/>
              </w:rPr>
              <w:t>مهارة الوقوف على العلاقة الرابطة بين الدين والفلسفة.</w:t>
            </w:r>
          </w:p>
          <w:p w:rsidR="00540592" w:rsidRPr="00ED294B" w:rsidRDefault="00540592" w:rsidP="00540592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rPr>
                <w:rFonts w:ascii="Candara" w:hAnsi="Candara"/>
                <w:b/>
                <w:bCs/>
                <w:rtl/>
                <w:lang w:eastAsia="fr-FR" w:bidi="ar-MA"/>
              </w:rPr>
            </w:pPr>
            <w:r w:rsidRPr="00ED294B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المقارنة بين خصائص الفلسفة الغربية والفلسفة الآسيوية (البوذية، والكونفوشيوسي</w:t>
            </w:r>
            <w:r w:rsidRPr="00ED294B">
              <w:rPr>
                <w:rFonts w:ascii="Candara" w:hAnsi="Candara" w:hint="eastAsia"/>
                <w:b/>
                <w:bCs/>
                <w:rtl/>
                <w:lang w:eastAsia="fr-FR" w:bidi="ar-MA"/>
              </w:rPr>
              <w:t>ة</w:t>
            </w:r>
            <w:r w:rsidRPr="00ED294B">
              <w:rPr>
                <w:rFonts w:ascii="Candara" w:hAnsi="Candara" w:hint="cs"/>
                <w:b/>
                <w:bCs/>
                <w:rtl/>
                <w:lang w:eastAsia="fr-FR" w:bidi="ar-MA"/>
              </w:rPr>
              <w:t>، الطاوية)</w:t>
            </w:r>
          </w:p>
          <w:p w:rsidR="00540592" w:rsidRPr="00ED294B" w:rsidRDefault="00540592" w:rsidP="00540592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rPr>
                <w:rFonts w:ascii="Candara" w:hAnsi="Candara"/>
                <w:b/>
                <w:bCs/>
                <w:rtl/>
                <w:lang w:eastAsia="fr-FR" w:bidi="ar-MA"/>
              </w:rPr>
            </w:pPr>
            <w:r w:rsidRPr="00ED294B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كيف لعب البعد الروحي بالنسبة للفلسفات الشرقية التي تحولت فيما بعد إلى ديانات، دورا في بناء تصورات فلسفية حول الانسان والوجود </w:t>
            </w:r>
          </w:p>
          <w:p w:rsidR="00540592" w:rsidRPr="00ED294B" w:rsidRDefault="00540592" w:rsidP="00540592">
            <w:pPr>
              <w:pStyle w:val="Paragraphedeliste"/>
              <w:bidi w:val="0"/>
              <w:spacing w:line="360" w:lineRule="auto"/>
              <w:ind w:left="408"/>
              <w:rPr>
                <w:rFonts w:ascii="Candara" w:hAnsi="Candara" w:cs="Verdana,Bold"/>
                <w:b/>
                <w:bCs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540592" w:rsidRPr="00540592" w:rsidRDefault="00540592" w:rsidP="00540592">
            <w:pPr>
              <w:pStyle w:val="Paragraphedeliste"/>
              <w:numPr>
                <w:ilvl w:val="0"/>
                <w:numId w:val="14"/>
              </w:numPr>
              <w:spacing w:line="360" w:lineRule="auto"/>
              <w:ind w:left="471"/>
              <w:rPr>
                <w:rFonts w:ascii="Candara" w:hAnsi="Candara"/>
                <w:b/>
                <w:bCs/>
                <w:rtl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تحديد الشرط التاريخي والموضوعي لكل من الفلسفة الغربية والآسيوية.</w:t>
            </w:r>
          </w:p>
          <w:p w:rsidR="00540592" w:rsidRPr="00540592" w:rsidRDefault="00540592" w:rsidP="00540592">
            <w:pPr>
              <w:pStyle w:val="Paragraphedeliste"/>
              <w:numPr>
                <w:ilvl w:val="0"/>
                <w:numId w:val="14"/>
              </w:numPr>
              <w:spacing w:line="360" w:lineRule="auto"/>
              <w:ind w:left="471"/>
              <w:rPr>
                <w:rFonts w:ascii="Candara" w:hAnsi="Candara"/>
                <w:b/>
                <w:bCs/>
                <w:rtl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أهم تيارات الفلسفة الغربية وخصائصها المميزة.</w:t>
            </w:r>
          </w:p>
          <w:p w:rsidR="00540592" w:rsidRPr="00540592" w:rsidRDefault="00540592" w:rsidP="00540592">
            <w:pPr>
              <w:pStyle w:val="Paragraphedeliste"/>
              <w:numPr>
                <w:ilvl w:val="0"/>
                <w:numId w:val="14"/>
              </w:numPr>
              <w:spacing w:line="360" w:lineRule="auto"/>
              <w:ind w:left="471"/>
              <w:rPr>
                <w:rFonts w:ascii="Candara" w:hAnsi="Candara"/>
                <w:b/>
                <w:bCs/>
                <w:rtl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أهم مدارس الفلسفة الآسيوية وخصائصها </w:t>
            </w: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المميزة. </w:t>
            </w:r>
            <w:r w:rsidRPr="00540592">
              <w:rPr>
                <w:rFonts w:ascii="Candara" w:hAnsi="Candara"/>
                <w:b/>
                <w:bCs/>
                <w:rtl/>
                <w:lang w:bidi="ar-MA"/>
              </w:rPr>
              <w:t>(</w:t>
            </w: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البوذية، الهندوسية، الطاوية، </w:t>
            </w: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الكونفوشيوسي</w:t>
            </w:r>
            <w:r w:rsidRPr="00540592">
              <w:rPr>
                <w:rFonts w:ascii="Candara" w:hAnsi="Candara" w:hint="eastAsia"/>
                <w:b/>
                <w:bCs/>
                <w:rtl/>
                <w:lang w:bidi="ar-MA"/>
              </w:rPr>
              <w:t>ة</w:t>
            </w: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)</w:t>
            </w:r>
          </w:p>
          <w:p w:rsidR="00EE35FA" w:rsidRPr="00540592" w:rsidRDefault="00540592" w:rsidP="00540592">
            <w:pPr>
              <w:pStyle w:val="Paragraphedeliste"/>
              <w:numPr>
                <w:ilvl w:val="0"/>
                <w:numId w:val="14"/>
              </w:numPr>
              <w:spacing w:line="360" w:lineRule="auto"/>
              <w:ind w:left="471"/>
              <w:rPr>
                <w:rFonts w:ascii="Candara" w:hAnsi="Candara"/>
                <w:b/>
                <w:bCs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مدى تفاعل كل من الفلسفتين على المستوى المعرفي عبر التاريخ.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540592" w:rsidRPr="00540592" w:rsidRDefault="00540592" w:rsidP="00540592">
            <w:pPr>
              <w:pStyle w:val="Paragraphedeliste"/>
              <w:numPr>
                <w:ilvl w:val="0"/>
                <w:numId w:val="15"/>
              </w:numPr>
              <w:spacing w:line="360" w:lineRule="auto"/>
              <w:ind w:left="471"/>
              <w:rPr>
                <w:rFonts w:ascii="Candara" w:hAnsi="Candara"/>
                <w:b/>
                <w:bCs/>
                <w:rtl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اقتراح مواضيع بحث تتعلق بالتيارات والمدارس الفلسفية الغربية والشرقية أي الآسيوية، يقوم بها الطالب قبلا.</w:t>
            </w:r>
          </w:p>
          <w:p w:rsidR="00540592" w:rsidRPr="00540592" w:rsidRDefault="00540592" w:rsidP="00540592">
            <w:pPr>
              <w:pStyle w:val="Paragraphedeliste"/>
              <w:numPr>
                <w:ilvl w:val="0"/>
                <w:numId w:val="15"/>
              </w:numPr>
              <w:spacing w:line="360" w:lineRule="auto"/>
              <w:ind w:left="471"/>
              <w:rPr>
                <w:rFonts w:ascii="Candara" w:hAnsi="Candara"/>
                <w:b/>
                <w:bCs/>
                <w:rtl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ضرورة الاستعانة بالجهاز العاكس بالنسبة </w:t>
            </w:r>
            <w:r w:rsidRPr="00540592">
              <w:rPr>
                <w:rFonts w:ascii="Candara" w:hAnsi="Candara" w:hint="eastAsia"/>
                <w:b/>
                <w:bCs/>
                <w:rtl/>
                <w:lang w:bidi="ar-MA"/>
              </w:rPr>
              <w:t>للأستاذ</w:t>
            </w: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والطالب. لأن وظيفة البصر والصورة في عملية التلقي أصبحت واقعا.</w:t>
            </w:r>
          </w:p>
          <w:p w:rsidR="00EE35FA" w:rsidRPr="00540592" w:rsidRDefault="00540592" w:rsidP="00540592">
            <w:pPr>
              <w:pStyle w:val="Paragraphedeliste"/>
              <w:numPr>
                <w:ilvl w:val="0"/>
                <w:numId w:val="15"/>
              </w:numPr>
              <w:spacing w:line="360" w:lineRule="auto"/>
              <w:ind w:left="471"/>
              <w:rPr>
                <w:rFonts w:ascii="Candara" w:hAnsi="Candara"/>
                <w:b/>
                <w:bCs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جعل الدرس أو المحاضرة يتم عن طريق طرح أسئلة تصب في اتجاه محاور المادة، واشراك الطالب في مناقشتها.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540592" w:rsidRDefault="00540592" w:rsidP="00540592">
            <w:pPr>
              <w:pStyle w:val="Paragraphedeliste"/>
              <w:numPr>
                <w:ilvl w:val="0"/>
                <w:numId w:val="16"/>
              </w:numPr>
              <w:ind w:left="203" w:firstLine="157"/>
              <w:rPr>
                <w:rFonts w:ascii="Candara" w:hAnsi="Candara"/>
                <w:b/>
                <w:bCs/>
                <w:lang w:bidi="ar-MA"/>
              </w:rPr>
            </w:pP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تقديم بحوث ومداخلات تهيئ سابقا حول كل محور</w:t>
            </w:r>
            <w:r w:rsidRPr="00540592">
              <w:rPr>
                <w:rFonts w:ascii="Candara" w:hAnsi="Candara" w:hint="cs"/>
                <w:b/>
                <w:bCs/>
                <w:rtl/>
                <w:lang w:bidi="ar-MA"/>
              </w:rPr>
              <w:t>.</w:t>
            </w: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40592" w:rsidP="00540592">
            <w:pPr>
              <w:pStyle w:val="Corpsdetexte"/>
              <w:bidi/>
              <w:ind w:left="360"/>
              <w:rPr>
                <w:rFonts w:ascii="Candara" w:hAnsi="Candara"/>
                <w:b/>
                <w:bCs w:val="0"/>
              </w:rPr>
            </w:pPr>
            <w:r>
              <w:rPr>
                <w:rFonts w:ascii="Wingdings" w:hAnsi="Wingdings"/>
                <w:bCs w:val="0"/>
                <w:highlight w:val="lightGray"/>
              </w:rPr>
              <w:sym w:font="Wingdings" w:char="F078"/>
            </w:r>
            <w:r>
              <w:rPr>
                <w:rFonts w:ascii="Wingdings" w:hAnsi="Wingdings" w:hint="cs"/>
                <w:b/>
                <w:caps/>
                <w:rtl/>
              </w:rPr>
              <w:t xml:space="preserve"> </w:t>
            </w:r>
            <w:r w:rsidR="00567F6F"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lastRenderedPageBreak/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540592">
        <w:trPr>
          <w:trHeight w:val="286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540592" w:rsidRPr="00C921B6" w:rsidRDefault="00540592" w:rsidP="00540592">
            <w:pPr>
              <w:pStyle w:val="Corpsdetexte"/>
              <w:numPr>
                <w:ilvl w:val="0"/>
                <w:numId w:val="19"/>
              </w:numPr>
              <w:ind w:left="492"/>
              <w:rPr>
                <w:rFonts w:ascii="Candara" w:hAnsi="Candara"/>
                <w:lang w:bidi="ar-MA"/>
              </w:rPr>
            </w:pPr>
            <w:r>
              <w:rPr>
                <w:rFonts w:ascii="Candara" w:hAnsi="Candara"/>
                <w:lang w:bidi="ar-MA"/>
              </w:rPr>
              <w:t>A</w:t>
            </w:r>
            <w:r w:rsidRPr="00C921B6">
              <w:rPr>
                <w:rFonts w:ascii="Candara" w:hAnsi="Candara"/>
                <w:lang w:bidi="ar-MA"/>
              </w:rPr>
              <w:t>ndr</w:t>
            </w:r>
            <w:r>
              <w:rPr>
                <w:rFonts w:ascii="Candara" w:hAnsi="Candara"/>
                <w:lang w:bidi="ar-MA"/>
              </w:rPr>
              <w:t xml:space="preserve">é </w:t>
            </w:r>
            <w:proofErr w:type="spellStart"/>
            <w:proofErr w:type="gramStart"/>
            <w:r w:rsidRPr="00C921B6">
              <w:rPr>
                <w:rFonts w:ascii="Candara" w:hAnsi="Candara"/>
                <w:lang w:bidi="ar-MA"/>
              </w:rPr>
              <w:t>koyré</w:t>
            </w:r>
            <w:proofErr w:type="spellEnd"/>
            <w:r>
              <w:rPr>
                <w:rFonts w:ascii="Candara" w:hAnsi="Candara"/>
                <w:lang w:bidi="ar-MA"/>
              </w:rPr>
              <w:t xml:space="preserve">, </w:t>
            </w:r>
            <w:r w:rsidRPr="00C921B6">
              <w:rPr>
                <w:rFonts w:ascii="Candara" w:hAnsi="Candara"/>
                <w:lang w:bidi="ar-MA"/>
              </w:rPr>
              <w:t xml:space="preserve"> </w:t>
            </w:r>
            <w:r w:rsidRPr="00ED294B">
              <w:rPr>
                <w:rFonts w:ascii="Candara" w:hAnsi="Candara"/>
                <w:i/>
                <w:iCs/>
                <w:lang w:bidi="ar-MA"/>
              </w:rPr>
              <w:t>Etudes</w:t>
            </w:r>
            <w:proofErr w:type="gramEnd"/>
            <w:r w:rsidRPr="00ED294B">
              <w:rPr>
                <w:rFonts w:ascii="Candara" w:hAnsi="Candara"/>
                <w:i/>
                <w:iCs/>
                <w:lang w:bidi="ar-MA"/>
              </w:rPr>
              <w:t xml:space="preserve"> d’histoire de la pensée philosophique</w:t>
            </w:r>
          </w:p>
          <w:p w:rsidR="00540592" w:rsidRPr="00C921B6" w:rsidRDefault="00540592" w:rsidP="00540592">
            <w:pPr>
              <w:pStyle w:val="Corpsdetexte"/>
              <w:numPr>
                <w:ilvl w:val="0"/>
                <w:numId w:val="19"/>
              </w:numPr>
              <w:ind w:left="492"/>
              <w:rPr>
                <w:rFonts w:ascii="Candara" w:hAnsi="Candara"/>
                <w:lang w:bidi="ar-MA"/>
              </w:rPr>
            </w:pPr>
            <w:r w:rsidRPr="00C921B6">
              <w:rPr>
                <w:rFonts w:ascii="Candara" w:hAnsi="Candara"/>
                <w:lang w:bidi="ar-MA"/>
              </w:rPr>
              <w:t xml:space="preserve">Madeleine </w:t>
            </w:r>
            <w:proofErr w:type="spellStart"/>
            <w:proofErr w:type="gramStart"/>
            <w:r>
              <w:rPr>
                <w:rFonts w:ascii="Candara" w:hAnsi="Candara"/>
                <w:lang w:bidi="ar-MA"/>
              </w:rPr>
              <w:t>B</w:t>
            </w:r>
            <w:r w:rsidRPr="00C921B6">
              <w:rPr>
                <w:rFonts w:ascii="Candara" w:hAnsi="Candara"/>
                <w:lang w:bidi="ar-MA"/>
              </w:rPr>
              <w:t>iardeau</w:t>
            </w:r>
            <w:proofErr w:type="spellEnd"/>
            <w:r>
              <w:rPr>
                <w:rFonts w:ascii="Candara" w:hAnsi="Candara"/>
                <w:lang w:bidi="ar-MA"/>
              </w:rPr>
              <w:t xml:space="preserve">, </w:t>
            </w:r>
            <w:r w:rsidRPr="00C921B6">
              <w:rPr>
                <w:rFonts w:ascii="Candara" w:hAnsi="Candara"/>
                <w:lang w:bidi="ar-MA"/>
              </w:rPr>
              <w:t xml:space="preserve"> </w:t>
            </w:r>
            <w:r w:rsidRPr="00ED294B">
              <w:rPr>
                <w:rFonts w:ascii="Candara" w:hAnsi="Candara"/>
                <w:i/>
                <w:iCs/>
                <w:lang w:bidi="ar-MA"/>
              </w:rPr>
              <w:t>Etudes</w:t>
            </w:r>
            <w:proofErr w:type="gramEnd"/>
            <w:r w:rsidRPr="00ED294B">
              <w:rPr>
                <w:rFonts w:ascii="Candara" w:hAnsi="Candara"/>
                <w:i/>
                <w:iCs/>
                <w:lang w:bidi="ar-MA"/>
              </w:rPr>
              <w:t xml:space="preserve"> de mythologie hindoue</w:t>
            </w:r>
            <w:r w:rsidRPr="00C921B6">
              <w:rPr>
                <w:rFonts w:ascii="Candara" w:hAnsi="Candara"/>
                <w:lang w:bidi="ar-MA"/>
              </w:rPr>
              <w:t>,</w:t>
            </w:r>
          </w:p>
          <w:p w:rsidR="00540592" w:rsidRPr="00C921B6" w:rsidRDefault="00540592" w:rsidP="00540592">
            <w:pPr>
              <w:pStyle w:val="Corpsdetexte"/>
              <w:numPr>
                <w:ilvl w:val="0"/>
                <w:numId w:val="19"/>
              </w:numPr>
              <w:ind w:left="492"/>
              <w:rPr>
                <w:rFonts w:ascii="Candara" w:hAnsi="Candara"/>
                <w:rtl/>
                <w:lang w:bidi="ar-MA"/>
              </w:rPr>
            </w:pPr>
            <w:r w:rsidRPr="00C921B6">
              <w:rPr>
                <w:rFonts w:ascii="Candara" w:hAnsi="Candara"/>
                <w:lang w:bidi="ar-MA"/>
              </w:rPr>
              <w:t xml:space="preserve">Denis </w:t>
            </w:r>
            <w:proofErr w:type="spellStart"/>
            <w:proofErr w:type="gramStart"/>
            <w:r w:rsidRPr="00C921B6">
              <w:rPr>
                <w:rFonts w:ascii="Candara" w:hAnsi="Candara"/>
                <w:lang w:bidi="ar-MA"/>
              </w:rPr>
              <w:t>Huisman</w:t>
            </w:r>
            <w:proofErr w:type="spellEnd"/>
            <w:r>
              <w:rPr>
                <w:rFonts w:ascii="Candara" w:hAnsi="Candara"/>
                <w:lang w:bidi="ar-MA"/>
              </w:rPr>
              <w:t xml:space="preserve">, </w:t>
            </w:r>
            <w:r w:rsidRPr="00C921B6">
              <w:rPr>
                <w:rFonts w:ascii="Candara" w:hAnsi="Candara"/>
                <w:lang w:bidi="ar-MA"/>
              </w:rPr>
              <w:t xml:space="preserve"> </w:t>
            </w:r>
            <w:r w:rsidRPr="00ED294B">
              <w:rPr>
                <w:rFonts w:ascii="Candara" w:hAnsi="Candara"/>
                <w:i/>
                <w:iCs/>
                <w:lang w:bidi="ar-MA"/>
              </w:rPr>
              <w:t>Les</w:t>
            </w:r>
            <w:proofErr w:type="gramEnd"/>
            <w:r w:rsidRPr="00ED294B">
              <w:rPr>
                <w:rFonts w:ascii="Candara" w:hAnsi="Candara"/>
                <w:i/>
                <w:iCs/>
                <w:lang w:bidi="ar-MA"/>
              </w:rPr>
              <w:t xml:space="preserve"> plus grand textes de la philosophie orientale</w:t>
            </w:r>
          </w:p>
          <w:p w:rsidR="00540592" w:rsidRPr="00C921B6" w:rsidRDefault="00540592" w:rsidP="00540592">
            <w:pPr>
              <w:pStyle w:val="Corpsdetexte"/>
              <w:numPr>
                <w:ilvl w:val="0"/>
                <w:numId w:val="19"/>
              </w:numPr>
              <w:ind w:left="492"/>
              <w:rPr>
                <w:rFonts w:ascii="Candara" w:hAnsi="Candara"/>
                <w:lang w:bidi="ar-MA"/>
              </w:rPr>
            </w:pPr>
            <w:r w:rsidRPr="00C921B6">
              <w:rPr>
                <w:rFonts w:ascii="Candara" w:hAnsi="Candara"/>
                <w:lang w:bidi="ar-MA"/>
              </w:rPr>
              <w:t xml:space="preserve">Ernst Viktor </w:t>
            </w:r>
            <w:proofErr w:type="gramStart"/>
            <w:r>
              <w:rPr>
                <w:rFonts w:ascii="Candara" w:hAnsi="Candara"/>
                <w:lang w:bidi="ar-MA"/>
              </w:rPr>
              <w:t>Z</w:t>
            </w:r>
            <w:r w:rsidRPr="00C921B6">
              <w:rPr>
                <w:rFonts w:ascii="Candara" w:hAnsi="Candara"/>
                <w:lang w:bidi="ar-MA"/>
              </w:rPr>
              <w:t>enker</w:t>
            </w:r>
            <w:r>
              <w:rPr>
                <w:rFonts w:ascii="Candara" w:hAnsi="Candara" w:hint="cs"/>
                <w:rtl/>
                <w:lang w:bidi="ar-MA"/>
              </w:rPr>
              <w:t> </w:t>
            </w:r>
            <w:r>
              <w:rPr>
                <w:rFonts w:ascii="Candara" w:hAnsi="Candara"/>
                <w:lang w:bidi="ar-MA"/>
              </w:rPr>
              <w:t>,</w:t>
            </w:r>
            <w:proofErr w:type="gramEnd"/>
            <w:r>
              <w:rPr>
                <w:rFonts w:ascii="Candara" w:hAnsi="Candara"/>
                <w:lang w:bidi="ar-MA"/>
              </w:rPr>
              <w:t xml:space="preserve"> </w:t>
            </w:r>
            <w:r w:rsidRPr="00ED294B">
              <w:rPr>
                <w:rFonts w:ascii="Candara" w:hAnsi="Candara"/>
                <w:i/>
                <w:iCs/>
                <w:lang w:bidi="ar-MA"/>
              </w:rPr>
              <w:t>Histoire de la philosophie chinoise</w:t>
            </w:r>
            <w:r w:rsidRPr="00C921B6">
              <w:rPr>
                <w:rFonts w:ascii="Candara" w:hAnsi="Candara"/>
                <w:lang w:bidi="ar-MA"/>
              </w:rPr>
              <w:t xml:space="preserve"> </w:t>
            </w:r>
          </w:p>
          <w:p w:rsidR="00540592" w:rsidRPr="00C921B6" w:rsidRDefault="00540592" w:rsidP="00540592">
            <w:pPr>
              <w:pStyle w:val="Corpsdetexte"/>
              <w:numPr>
                <w:ilvl w:val="0"/>
                <w:numId w:val="19"/>
              </w:numPr>
              <w:ind w:left="492"/>
              <w:rPr>
                <w:rFonts w:ascii="Candara" w:hAnsi="Candara"/>
                <w:lang w:bidi="ar-MA"/>
              </w:rPr>
            </w:pPr>
            <w:proofErr w:type="spellStart"/>
            <w:r w:rsidRPr="00C921B6">
              <w:rPr>
                <w:rFonts w:ascii="Candara" w:hAnsi="Candara"/>
                <w:lang w:bidi="ar-MA"/>
              </w:rPr>
              <w:t>Naren</w:t>
            </w:r>
            <w:proofErr w:type="spellEnd"/>
            <w:r>
              <w:rPr>
                <w:rFonts w:ascii="Candara" w:hAnsi="Candara"/>
                <w:lang w:bidi="ar-MA"/>
              </w:rPr>
              <w:t xml:space="preserve"> </w:t>
            </w:r>
            <w:proofErr w:type="spellStart"/>
            <w:proofErr w:type="gramStart"/>
            <w:r w:rsidRPr="00C921B6">
              <w:rPr>
                <w:rFonts w:ascii="Candara" w:hAnsi="Candara"/>
                <w:lang w:bidi="ar-MA"/>
              </w:rPr>
              <w:t>Herro</w:t>
            </w:r>
            <w:proofErr w:type="spellEnd"/>
            <w:r>
              <w:rPr>
                <w:rFonts w:ascii="Candara" w:hAnsi="Candara"/>
                <w:lang w:bidi="ar-MA"/>
              </w:rPr>
              <w:t xml:space="preserve">, </w:t>
            </w:r>
            <w:r w:rsidRPr="00C921B6">
              <w:rPr>
                <w:rFonts w:ascii="Candara" w:hAnsi="Candara"/>
                <w:lang w:bidi="ar-MA"/>
              </w:rPr>
              <w:t xml:space="preserve"> </w:t>
            </w:r>
            <w:proofErr w:type="spellStart"/>
            <w:r w:rsidRPr="00ED294B">
              <w:rPr>
                <w:rFonts w:ascii="Candara" w:hAnsi="Candara"/>
                <w:i/>
                <w:iCs/>
                <w:lang w:bidi="ar-MA"/>
              </w:rPr>
              <w:t>Hinduismo</w:t>
            </w:r>
            <w:proofErr w:type="spellEnd"/>
            <w:proofErr w:type="gramEnd"/>
          </w:p>
          <w:p w:rsidR="00540592" w:rsidRPr="00540592" w:rsidRDefault="00540592" w:rsidP="00540592">
            <w:pPr>
              <w:pStyle w:val="Paragraphedeliste"/>
              <w:numPr>
                <w:ilvl w:val="0"/>
                <w:numId w:val="19"/>
              </w:numPr>
              <w:ind w:left="492"/>
              <w:rPr>
                <w:b/>
                <w:bCs/>
                <w:rtl/>
                <w:lang w:eastAsia="fr-FR"/>
              </w:rPr>
            </w:pPr>
            <w:r>
              <w:rPr>
                <w:rFonts w:hint="cs"/>
                <w:rtl/>
                <w:lang w:eastAsia="fr-FR"/>
              </w:rPr>
              <w:t xml:space="preserve"> </w:t>
            </w:r>
            <w:r w:rsidRPr="00540592">
              <w:rPr>
                <w:rFonts w:hint="cs"/>
                <w:b/>
                <w:bCs/>
                <w:rtl/>
                <w:lang w:eastAsia="fr-FR"/>
              </w:rPr>
              <w:t>الفكر الشرقي القديم، جون كولر، ت. كمال يوسف حسين.</w:t>
            </w:r>
          </w:p>
          <w:p w:rsidR="00540592" w:rsidRPr="00C921B6" w:rsidRDefault="00540592" w:rsidP="00540592">
            <w:pPr>
              <w:pStyle w:val="Corpsdetexte"/>
              <w:bidi/>
              <w:rPr>
                <w:rFonts w:ascii="Candara" w:hAnsi="Candara"/>
              </w:rPr>
            </w:pPr>
          </w:p>
          <w:p w:rsidR="00EE35FA" w:rsidRDefault="00EE35FA" w:rsidP="00540592">
            <w:pPr>
              <w:pStyle w:val="Corpsdetexte"/>
              <w:tabs>
                <w:tab w:val="clear" w:pos="214"/>
                <w:tab w:val="left" w:pos="1002"/>
              </w:tabs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 w:hint="cs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  <w:bookmarkStart w:id="0" w:name="_GoBack"/>
    </w:p>
    <w:bookmarkEnd w:id="0"/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C512C"/>
    <w:multiLevelType w:val="hybridMultilevel"/>
    <w:tmpl w:val="AF70C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8" w15:restartNumberingAfterBreak="0">
    <w:nsid w:val="452F51F0"/>
    <w:multiLevelType w:val="hybridMultilevel"/>
    <w:tmpl w:val="F376B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97B14"/>
    <w:multiLevelType w:val="hybridMultilevel"/>
    <w:tmpl w:val="DF70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54F4B"/>
    <w:multiLevelType w:val="hybridMultilevel"/>
    <w:tmpl w:val="3182D9B0"/>
    <w:lvl w:ilvl="0" w:tplc="C5A85F4C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D12D8"/>
    <w:multiLevelType w:val="hybridMultilevel"/>
    <w:tmpl w:val="1D709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92C35"/>
    <w:multiLevelType w:val="hybridMultilevel"/>
    <w:tmpl w:val="9662A85C"/>
    <w:lvl w:ilvl="0" w:tplc="80525D44"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E02D9F"/>
    <w:multiLevelType w:val="hybridMultilevel"/>
    <w:tmpl w:val="C7B05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  <w:num w:numId="12">
    <w:abstractNumId w:val="16"/>
  </w:num>
  <w:num w:numId="13">
    <w:abstractNumId w:val="18"/>
  </w:num>
  <w:num w:numId="14">
    <w:abstractNumId w:val="6"/>
  </w:num>
  <w:num w:numId="15">
    <w:abstractNumId w:val="13"/>
  </w:num>
  <w:num w:numId="16">
    <w:abstractNumId w:val="10"/>
  </w:num>
  <w:num w:numId="17">
    <w:abstractNumId w:val="15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C75E7"/>
    <w:rsid w:val="00476713"/>
    <w:rsid w:val="00540592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5964DB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8532D-BB3D-4EB2-91EE-C6E9493B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560</Words>
  <Characters>3193</Characters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2021-02-11T10:56:00Z</dcterms:modified>
</cp:coreProperties>
</file>