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DE0BB5">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tcPr>
          <w:p w:rsidR="00EE35FA" w:rsidRPr="00FE3B55" w:rsidRDefault="00FE3B55" w:rsidP="00B5658F">
            <w:pPr>
              <w:spacing w:line="360" w:lineRule="auto"/>
              <w:rPr>
                <w:rFonts w:ascii="Candara" w:hAnsi="Candara"/>
                <w:b/>
                <w:caps/>
                <w:lang w:eastAsia="fr-CA" w:bidi="ar-MA"/>
              </w:rPr>
            </w:pPr>
            <w:r w:rsidRPr="00FE3B55">
              <w:rPr>
                <w:rFonts w:hint="cs"/>
                <w:b/>
                <w:bCs/>
                <w:rtl/>
                <w:lang w:bidi="ar-MA"/>
              </w:rPr>
              <w:t>الأنثروبولوجيا الثقافية والاجتماعية</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FE3B55" w:rsidRDefault="00FE3B55" w:rsidP="00D5588E">
            <w:pPr>
              <w:pStyle w:val="Paragraphedeliste"/>
              <w:spacing w:line="240" w:lineRule="exact"/>
              <w:ind w:left="0"/>
              <w:rPr>
                <w:rFonts w:ascii="Candara" w:hAnsi="Candara"/>
                <w:b/>
                <w:bCs/>
                <w:color w:val="FF0000"/>
                <w:lang w:eastAsia="fr-FR" w:bidi="ar-MA"/>
              </w:rPr>
            </w:pPr>
            <w:r w:rsidRPr="00FE3B55">
              <w:rPr>
                <w:rFonts w:hint="cs"/>
                <w:b/>
                <w:bCs/>
                <w:rtl/>
                <w:lang w:bidi="ar-MA"/>
              </w:rPr>
              <w:t>الأنثروبولوجيا الثقافية والاجتماعية</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15569B" w:rsidRDefault="0015569B" w:rsidP="00D5588E">
            <w:pPr>
              <w:pStyle w:val="Paragraphedeliste"/>
              <w:spacing w:line="240" w:lineRule="exact"/>
              <w:ind w:left="0"/>
              <w:rPr>
                <w:rFonts w:ascii="Candara" w:hAnsi="Candara"/>
                <w:b/>
                <w:bCs/>
                <w:lang w:eastAsia="fr-FR" w:bidi="ar-MA"/>
              </w:rPr>
            </w:pPr>
            <w:r w:rsidRPr="0015569B">
              <w:rPr>
                <w:rFonts w:ascii="Candara" w:hAnsi="Candara" w:hint="cs"/>
                <w:b/>
                <w:bCs/>
                <w:rtl/>
                <w:lang w:eastAsia="fr-FR" w:bidi="ar-MA"/>
              </w:rPr>
              <w:t>الفصل 1 أو الفصل 3</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15569B" w:rsidRDefault="00A50D04" w:rsidP="00D159B6">
            <w:pPr>
              <w:pStyle w:val="Paragraphedeliste"/>
              <w:spacing w:line="240" w:lineRule="exact"/>
              <w:ind w:left="0"/>
              <w:rPr>
                <w:rFonts w:ascii="Candara" w:hAnsi="Candara"/>
                <w:b/>
                <w:bCs/>
                <w:lang w:eastAsia="fr-FR" w:bidi="ar-MA"/>
              </w:rPr>
            </w:pPr>
            <w:r>
              <w:rPr>
                <w:rFonts w:ascii="Candara" w:hAnsi="Candara" w:hint="cs"/>
                <w:b/>
                <w:bCs/>
                <w:rtl/>
                <w:lang w:eastAsia="fr-FR" w:bidi="ar-MA"/>
              </w:rPr>
              <w:t>وحدة</w:t>
            </w:r>
            <w:r w:rsidR="00D159B6">
              <w:rPr>
                <w:rFonts w:ascii="Candara" w:hAnsi="Candara" w:hint="cs"/>
                <w:b/>
                <w:bCs/>
                <w:rtl/>
                <w:lang w:eastAsia="fr-FR" w:bidi="ar-MA"/>
              </w:rPr>
              <w:t xml:space="preserve"> عامة للا</w:t>
            </w:r>
            <w:r>
              <w:rPr>
                <w:rFonts w:ascii="Candara" w:hAnsi="Candara" w:hint="cs"/>
                <w:b/>
                <w:bCs/>
                <w:rtl/>
                <w:lang w:eastAsia="fr-FR" w:bidi="ar-MA"/>
              </w:rPr>
              <w:t>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15569B" w:rsidRDefault="0015569B" w:rsidP="00D5588E">
            <w:pPr>
              <w:pStyle w:val="Paragraphedeliste"/>
              <w:spacing w:line="240" w:lineRule="exact"/>
              <w:ind w:left="0"/>
              <w:rPr>
                <w:rFonts w:ascii="Candara" w:hAnsi="Candara"/>
                <w:b/>
                <w:bCs/>
                <w:lang w:eastAsia="fr-FR" w:bidi="ar-MA"/>
              </w:rPr>
            </w:pPr>
            <w:r w:rsidRPr="0015569B">
              <w:rPr>
                <w:rFonts w:ascii="Candara" w:hAnsi="Candara" w:hint="cs"/>
                <w:b/>
                <w:bCs/>
                <w:rtl/>
                <w:lang w:eastAsia="fr-FR" w:bidi="ar-MA"/>
              </w:rPr>
              <w:t>3 نقاط</w:t>
            </w:r>
            <w:bookmarkStart w:id="0" w:name="_GoBack"/>
            <w:bookmarkEnd w:id="0"/>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FE3B55" w:rsidRDefault="00FE3B55" w:rsidP="00D5588E">
            <w:pPr>
              <w:pStyle w:val="Paragraphedeliste"/>
              <w:spacing w:line="240" w:lineRule="exact"/>
              <w:ind w:left="0"/>
              <w:rPr>
                <w:rFonts w:ascii="Candara" w:hAnsi="Candara"/>
                <w:color w:val="FF0000"/>
                <w:lang w:eastAsia="fr-FR" w:bidi="ar-MA"/>
              </w:rPr>
            </w:pPr>
            <w:r w:rsidRPr="00FE3B55">
              <w:rPr>
                <w:rFonts w:ascii="Candara" w:hAnsi="Candara" w:hint="cs"/>
                <w:rtl/>
                <w:lang w:eastAsia="fr-FR" w:bidi="ar-MA"/>
              </w:rPr>
              <w:t>العربية</w:t>
            </w: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Default="00EE35FA" w:rsidP="007E0EA4">
            <w:pPr>
              <w:pStyle w:val="Paragraphedeliste"/>
              <w:bidi w:val="0"/>
              <w:spacing w:line="240" w:lineRule="exact"/>
              <w:rPr>
                <w:rFonts w:ascii="Candara" w:hAnsi="Candara" w:cs="Verdana,Bold"/>
                <w:b/>
                <w:bCs/>
                <w:sz w:val="20"/>
                <w:szCs w:val="20"/>
                <w:lang w:eastAsia="fr-FR" w:bidi="ar-MA"/>
              </w:rPr>
            </w:pPr>
          </w:p>
          <w:p w:rsidR="00FE3B55" w:rsidRPr="00FE3B55" w:rsidRDefault="00FE3B55" w:rsidP="00FE3B55">
            <w:pPr>
              <w:pStyle w:val="Paragraphedeliste"/>
              <w:numPr>
                <w:ilvl w:val="0"/>
                <w:numId w:val="13"/>
              </w:numPr>
              <w:ind w:left="408"/>
              <w:jc w:val="both"/>
              <w:rPr>
                <w:rFonts w:ascii="Sakkal Majalla" w:hAnsi="Sakkal Majalla" w:cs="Sakkal Majalla"/>
              </w:rPr>
            </w:pPr>
            <w:r w:rsidRPr="00FE3B55">
              <w:rPr>
                <w:rFonts w:ascii="Sakkal Majalla" w:hAnsi="Sakkal Majalla" w:cs="Sakkal Majalla"/>
                <w:rtl/>
              </w:rPr>
              <w:t>في نهاية هذا التكوين، من المفروض أن يكون الطالب قد امتلك القدرات الآتية:</w:t>
            </w:r>
          </w:p>
          <w:p w:rsidR="00FE3B55" w:rsidRPr="00FE3B55" w:rsidRDefault="00FE3B55" w:rsidP="00FE3B55">
            <w:pPr>
              <w:pStyle w:val="Paragraphedeliste"/>
              <w:numPr>
                <w:ilvl w:val="0"/>
                <w:numId w:val="14"/>
              </w:numPr>
              <w:ind w:left="408"/>
              <w:jc w:val="both"/>
              <w:rPr>
                <w:rFonts w:ascii="Sakkal Majalla" w:hAnsi="Sakkal Majalla" w:cs="Sakkal Majalla"/>
                <w:rtl/>
              </w:rPr>
            </w:pPr>
            <w:r w:rsidRPr="00FE3B55">
              <w:rPr>
                <w:rFonts w:ascii="Sakkal Majalla" w:hAnsi="Sakkal Majalla" w:cs="Sakkal Majalla" w:hint="cs"/>
                <w:rtl/>
              </w:rPr>
              <w:t>التمييز المنهجي والإبستيمولوجي</w:t>
            </w:r>
            <w:r w:rsidRPr="00FE3B55">
              <w:rPr>
                <w:rFonts w:ascii="Sakkal Majalla" w:hAnsi="Sakkal Majalla" w:cs="Sakkal Majalla"/>
              </w:rPr>
              <w:t xml:space="preserve"> </w:t>
            </w:r>
            <w:r w:rsidRPr="00FE3B55">
              <w:rPr>
                <w:rFonts w:ascii="Sakkal Majalla" w:hAnsi="Sakkal Majalla" w:cs="Sakkal Majalla" w:hint="cs"/>
                <w:rtl/>
              </w:rPr>
              <w:t>بين الثقافة والمجتمع؛ حيث ينبغي على الطالب أن يدرك بأن الثقافة والمجتمع ليسا موضوعين منفصلين واقعيا، بل منظورين متمايزين منهجيا.</w:t>
            </w:r>
          </w:p>
          <w:p w:rsidR="00FE3B55" w:rsidRPr="00FE3B55" w:rsidRDefault="00FE3B55" w:rsidP="00FE3B55">
            <w:pPr>
              <w:pStyle w:val="Paragraphedeliste"/>
              <w:numPr>
                <w:ilvl w:val="0"/>
                <w:numId w:val="14"/>
              </w:numPr>
              <w:ind w:left="408"/>
              <w:jc w:val="both"/>
              <w:rPr>
                <w:rFonts w:ascii="Sakkal Majalla" w:hAnsi="Sakkal Majalla" w:cs="Sakkal Majalla"/>
                <w:rtl/>
              </w:rPr>
            </w:pPr>
            <w:r w:rsidRPr="00FE3B55">
              <w:rPr>
                <w:rFonts w:ascii="Sakkal Majalla" w:hAnsi="Sakkal Majalla" w:cs="Sakkal Majalla" w:hint="cs"/>
                <w:rtl/>
              </w:rPr>
              <w:t xml:space="preserve">إدراك أن العلم كذلك تاريخي، وأنه يتحرك عموما داخل إطار إيديولوجي ولعل هذا كفيل بتجاوز الثنائية المتكلسة: علم/إيديولوجيا، والتفكير داخل الكلية التحولية (تاريخ-علم-إيديولوجيا). ولربما لا يوجد أفضل من الأنثروبولوجيا درسا لتحقيق هذا الهدف.  </w:t>
            </w:r>
          </w:p>
          <w:p w:rsidR="00FE3B55" w:rsidRPr="00FE3B55" w:rsidRDefault="00FE3B55" w:rsidP="00FE3B55">
            <w:pPr>
              <w:pStyle w:val="Paragraphedeliste"/>
              <w:numPr>
                <w:ilvl w:val="0"/>
                <w:numId w:val="14"/>
              </w:numPr>
              <w:ind w:left="408"/>
              <w:jc w:val="both"/>
              <w:rPr>
                <w:rFonts w:ascii="Sakkal Majalla" w:hAnsi="Sakkal Majalla" w:cs="Sakkal Majalla"/>
                <w:rtl/>
              </w:rPr>
            </w:pPr>
            <w:r w:rsidRPr="00FE3B55">
              <w:rPr>
                <w:rFonts w:ascii="Sakkal Majalla" w:hAnsi="Sakkal Majalla" w:cs="Sakkal Majalla" w:hint="cs"/>
                <w:rtl/>
              </w:rPr>
              <w:t>فهم التنوع برده إلى الوحدة والتمكن من فهم الأسلوب الذي تتشكل به المقولات الثقافية.</w:t>
            </w:r>
          </w:p>
          <w:p w:rsidR="00FE3B55" w:rsidRPr="00FE3B55" w:rsidRDefault="00FE3B55" w:rsidP="00FE3B55">
            <w:pPr>
              <w:pStyle w:val="Paragraphedeliste"/>
              <w:numPr>
                <w:ilvl w:val="0"/>
                <w:numId w:val="14"/>
              </w:numPr>
              <w:spacing w:line="240" w:lineRule="exact"/>
              <w:ind w:left="408"/>
              <w:jc w:val="both"/>
              <w:rPr>
                <w:rFonts w:ascii="Candara" w:hAnsi="Candara" w:cs="Verdana,Bold"/>
                <w:lang w:eastAsia="fr-FR" w:bidi="ar-MA"/>
              </w:rPr>
            </w:pPr>
            <w:r w:rsidRPr="00FE3B55">
              <w:rPr>
                <w:rFonts w:ascii="Sakkal Majalla" w:hAnsi="Sakkal Majalla" w:cs="Sakkal Majalla" w:hint="cs"/>
                <w:rtl/>
              </w:rPr>
              <w:t>الاستفادة من الدرس الأنثروبولوجي في استيعاب نسبية الثقافات واختلاف المجتمعات.</w:t>
            </w:r>
          </w:p>
          <w:p w:rsidR="00EE35FA" w:rsidRPr="00FE3B55" w:rsidRDefault="00EE35FA" w:rsidP="007E0EA4">
            <w:pPr>
              <w:pStyle w:val="Paragraphedeliste"/>
              <w:bidi w:val="0"/>
              <w:spacing w:line="240" w:lineRule="exact"/>
              <w:rPr>
                <w:rFonts w:ascii="Candara" w:hAnsi="Candara" w:cs="Verdana,Bold"/>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FE3B55" w:rsidRPr="00FE3B55" w:rsidRDefault="00FE3B55" w:rsidP="00FE3B55">
            <w:pPr>
              <w:pStyle w:val="Paragraphedeliste"/>
              <w:numPr>
                <w:ilvl w:val="0"/>
                <w:numId w:val="16"/>
              </w:numPr>
              <w:rPr>
                <w:rFonts w:ascii="Sakkal Majalla" w:hAnsi="Sakkal Majalla" w:cs="Sakkal Majalla"/>
              </w:rPr>
            </w:pPr>
            <w:r w:rsidRPr="00FE3B55">
              <w:rPr>
                <w:rFonts w:ascii="Sakkal Majalla" w:hAnsi="Sakkal Majalla" w:cs="Sakkal Majalla" w:hint="cs"/>
                <w:rtl/>
              </w:rPr>
              <w:t xml:space="preserve">يقدم هذا الدرس لمحة عامة عن المنعطفات الرئيسة التي ميزت تاريخ الأنثروبولوجيا الثقافية والاجتماعية منذ انفصالها عن الأنثروبولوجيا الفيزيقية، ويتوقف مليا عند الدلالات </w:t>
            </w:r>
            <w:proofErr w:type="spellStart"/>
            <w:r w:rsidRPr="00FE3B55">
              <w:rPr>
                <w:rFonts w:ascii="Sakkal Majalla" w:hAnsi="Sakkal Majalla" w:cs="Sakkal Majalla" w:hint="cs"/>
                <w:rtl/>
              </w:rPr>
              <w:t>الإبستيمولوجية</w:t>
            </w:r>
            <w:proofErr w:type="spellEnd"/>
            <w:r w:rsidRPr="00FE3B55">
              <w:rPr>
                <w:rFonts w:ascii="Sakkal Majalla" w:hAnsi="Sakkal Majalla" w:cs="Sakkal Majalla" w:hint="cs"/>
                <w:rtl/>
              </w:rPr>
              <w:t xml:space="preserve"> والمنهجية لمختلف هذه الانفصالات.  </w:t>
            </w:r>
          </w:p>
          <w:p w:rsidR="00FE3B55" w:rsidRPr="00FE3B55" w:rsidRDefault="00FE3B55" w:rsidP="00FE3B55">
            <w:pPr>
              <w:pStyle w:val="Paragraphedeliste"/>
              <w:numPr>
                <w:ilvl w:val="0"/>
                <w:numId w:val="15"/>
              </w:numPr>
              <w:rPr>
                <w:rFonts w:ascii="Sakkal Majalla" w:hAnsi="Sakkal Majalla" w:cs="Sakkal Majalla"/>
                <w:rtl/>
              </w:rPr>
            </w:pPr>
            <w:r w:rsidRPr="00FE3B55">
              <w:rPr>
                <w:rFonts w:ascii="Sakkal Majalla" w:hAnsi="Sakkal Majalla" w:cs="Sakkal Majalla"/>
                <w:rtl/>
              </w:rPr>
              <w:t xml:space="preserve">المقولات أو المفاهيم الرئيسة التي ستشكل هيكل الدرس: </w:t>
            </w:r>
            <w:r w:rsidRPr="00FE3B55">
              <w:rPr>
                <w:rFonts w:ascii="Sakkal Majalla" w:hAnsi="Sakkal Majalla" w:cs="Sakkal Majalla" w:hint="cs"/>
                <w:rtl/>
              </w:rPr>
              <w:t>الطبيعة، الثقافة، "المجتمع البدائي" التبادل، القرابة، القبيلة، الزواج، الحرب البدائية، البنية الاجتماعية، الوظيفة، الدور، النسق، التاريخ، المعنى، التأويل.</w:t>
            </w:r>
          </w:p>
          <w:p w:rsidR="00EE35FA" w:rsidRPr="00FE3B55" w:rsidRDefault="00FE3B55" w:rsidP="00FE3B55">
            <w:pPr>
              <w:pStyle w:val="Paragraphedeliste"/>
              <w:numPr>
                <w:ilvl w:val="0"/>
                <w:numId w:val="15"/>
              </w:numPr>
              <w:rPr>
                <w:rFonts w:ascii="Sakkal Majalla" w:hAnsi="Sakkal Majalla" w:cs="Sakkal Majalla"/>
                <w:b/>
                <w:bCs/>
                <w:sz w:val="28"/>
                <w:szCs w:val="28"/>
                <w:lang w:bidi="ar-MA"/>
              </w:rPr>
            </w:pPr>
            <w:r w:rsidRPr="00FE3B55">
              <w:rPr>
                <w:rFonts w:ascii="Sakkal Majalla" w:hAnsi="Sakkal Majalla" w:cs="Sakkal Majalla"/>
                <w:rtl/>
              </w:rPr>
              <w:t xml:space="preserve">المناهج التي سيعرف بها هذا الدرس: </w:t>
            </w:r>
            <w:r w:rsidRPr="00FE3B55">
              <w:rPr>
                <w:rFonts w:ascii="Sakkal Majalla" w:hAnsi="Sakkal Majalla" w:cs="Sakkal Majalla" w:hint="cs"/>
                <w:rtl/>
              </w:rPr>
              <w:t xml:space="preserve">منهج التاريخ الافتراضي أو التخميني، الذي ارتبط بالمذهب التطوري، المنهج الوظيفي، الذي ارتبط بالاستعارة البيولوجية أو الفيزيولوجية، ثم المنهج البنيوي كما طرحه كلود ليفي ستروس، وأخيرا المنهج التأويلي كما قدمه </w:t>
            </w:r>
            <w:proofErr w:type="spellStart"/>
            <w:r w:rsidRPr="00FE3B55">
              <w:rPr>
                <w:rFonts w:ascii="Sakkal Majalla" w:hAnsi="Sakkal Majalla" w:cs="Sakkal Majalla" w:hint="cs"/>
                <w:rtl/>
              </w:rPr>
              <w:t>كليفورد</w:t>
            </w:r>
            <w:proofErr w:type="spellEnd"/>
            <w:r w:rsidRPr="00FE3B55">
              <w:rPr>
                <w:rFonts w:ascii="Sakkal Majalla" w:hAnsi="Sakkal Majalla" w:cs="Sakkal Majalla" w:hint="cs"/>
                <w:rtl/>
              </w:rPr>
              <w:t xml:space="preserve"> </w:t>
            </w:r>
            <w:proofErr w:type="spellStart"/>
            <w:r w:rsidRPr="00FE3B55">
              <w:rPr>
                <w:rFonts w:ascii="Sakkal Majalla" w:hAnsi="Sakkal Majalla" w:cs="Sakkal Majalla" w:hint="cs"/>
                <w:rtl/>
              </w:rPr>
              <w:t>غيرتز</w:t>
            </w:r>
            <w:proofErr w:type="spellEnd"/>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FE3B55">
        <w:trPr>
          <w:trHeight w:val="2531"/>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FE3B55" w:rsidRPr="00FE3B55" w:rsidRDefault="00FE3B55" w:rsidP="00FE3B55">
            <w:pPr>
              <w:pStyle w:val="Paragraphedeliste"/>
              <w:numPr>
                <w:ilvl w:val="0"/>
                <w:numId w:val="18"/>
              </w:numPr>
              <w:jc w:val="both"/>
              <w:rPr>
                <w:rFonts w:ascii="Sakkal Majalla" w:hAnsi="Sakkal Majalla" w:cs="Sakkal Majalla"/>
                <w:rtl/>
              </w:rPr>
            </w:pPr>
            <w:r w:rsidRPr="00FE3B55">
              <w:rPr>
                <w:rFonts w:ascii="Sakkal Majalla" w:hAnsi="Sakkal Majalla" w:cs="Sakkal Majalla" w:hint="cs"/>
                <w:rtl/>
              </w:rPr>
              <w:t xml:space="preserve">ينطلق هذا الدرس من تقييم مقتضب لمنجز المغاربة في مجال الأنثروبولوجيا، والذي جاء جله، إن لم نقل كله، متفاعلا مع، بل منفعلا بما أطلق عليه </w:t>
            </w:r>
            <w:proofErr w:type="gramStart"/>
            <w:r w:rsidRPr="00FE3B55">
              <w:rPr>
                <w:rFonts w:ascii="Sakkal Majalla" w:hAnsi="Sakkal Majalla" w:cs="Sakkal Majalla" w:hint="cs"/>
                <w:rtl/>
              </w:rPr>
              <w:t>اسم :</w:t>
            </w:r>
            <w:proofErr w:type="gramEnd"/>
            <w:r w:rsidRPr="00FE3B55">
              <w:rPr>
                <w:rFonts w:ascii="Sakkal Majalla" w:hAnsi="Sakkal Majalla" w:cs="Sakkal Majalla" w:hint="cs"/>
                <w:rtl/>
              </w:rPr>
              <w:t xml:space="preserve"> "الأنثروبولوجيا </w:t>
            </w:r>
            <w:proofErr w:type="spellStart"/>
            <w:r w:rsidRPr="00FE3B55">
              <w:rPr>
                <w:rFonts w:ascii="Sakkal Majalla" w:hAnsi="Sakkal Majalla" w:cs="Sakkal Majalla" w:hint="cs"/>
                <w:rtl/>
              </w:rPr>
              <w:t>الكولونيالية</w:t>
            </w:r>
            <w:proofErr w:type="spellEnd"/>
            <w:r w:rsidRPr="00FE3B55">
              <w:rPr>
                <w:rFonts w:ascii="Sakkal Majalla" w:hAnsi="Sakkal Majalla" w:cs="Sakkal Majalla" w:hint="cs"/>
                <w:rtl/>
              </w:rPr>
              <w:t xml:space="preserve">". </w:t>
            </w:r>
          </w:p>
          <w:p w:rsidR="00FE3B55" w:rsidRPr="00FE3B55" w:rsidRDefault="00FE3B55" w:rsidP="00FE3B55">
            <w:pPr>
              <w:pStyle w:val="Paragraphedeliste"/>
              <w:numPr>
                <w:ilvl w:val="0"/>
                <w:numId w:val="17"/>
              </w:numPr>
              <w:jc w:val="both"/>
              <w:rPr>
                <w:rFonts w:ascii="Sakkal Majalla" w:hAnsi="Sakkal Majalla" w:cs="Sakkal Majalla"/>
                <w:rtl/>
              </w:rPr>
            </w:pPr>
            <w:r w:rsidRPr="00FE3B55">
              <w:rPr>
                <w:rFonts w:ascii="Sakkal Majalla" w:hAnsi="Sakkal Majalla" w:cs="Sakkal Majalla" w:hint="cs"/>
                <w:rtl/>
              </w:rPr>
              <w:t xml:space="preserve">ظلت الأنثروبولوجيا المغربية عموما حبيسة ثنائيات الأنثروبولوجيا </w:t>
            </w:r>
            <w:proofErr w:type="spellStart"/>
            <w:r w:rsidRPr="00FE3B55">
              <w:rPr>
                <w:rFonts w:ascii="Sakkal Majalla" w:hAnsi="Sakkal Majalla" w:cs="Sakkal Majalla" w:hint="cs"/>
                <w:rtl/>
              </w:rPr>
              <w:t>الكولونيالية</w:t>
            </w:r>
            <w:proofErr w:type="spellEnd"/>
            <w:r w:rsidRPr="00FE3B55">
              <w:rPr>
                <w:rFonts w:ascii="Sakkal Majalla" w:hAnsi="Sakkal Majalla" w:cs="Sakkal Majalla" w:hint="cs"/>
                <w:rtl/>
              </w:rPr>
              <w:t xml:space="preserve">: مخزن/سيبة، قانون/عرف، رجال/نساء، دولة/قبيلة إلخ وتشكل في أعقاب هذا الاتصال الأول بالإرث الأنثروبولوجي </w:t>
            </w:r>
            <w:proofErr w:type="spellStart"/>
            <w:r w:rsidRPr="00FE3B55">
              <w:rPr>
                <w:rFonts w:ascii="Sakkal Majalla" w:hAnsi="Sakkal Majalla" w:cs="Sakkal Majalla" w:hint="cs"/>
                <w:rtl/>
              </w:rPr>
              <w:t>الكولونيالي</w:t>
            </w:r>
            <w:proofErr w:type="spellEnd"/>
            <w:r w:rsidRPr="00FE3B55">
              <w:rPr>
                <w:rFonts w:ascii="Sakkal Majalla" w:hAnsi="Sakkal Majalla" w:cs="Sakkal Majalla" w:hint="cs"/>
                <w:rtl/>
              </w:rPr>
              <w:t xml:space="preserve"> موقف احترازي متحفظ من المنجز الأنثروبولوجي </w:t>
            </w:r>
            <w:proofErr w:type="spellStart"/>
            <w:r w:rsidRPr="00FE3B55">
              <w:rPr>
                <w:rFonts w:ascii="Sakkal Majalla" w:hAnsi="Sakkal Majalla" w:cs="Sakkal Majalla" w:hint="cs"/>
                <w:rtl/>
              </w:rPr>
              <w:t>الكولونيالي</w:t>
            </w:r>
            <w:proofErr w:type="spellEnd"/>
            <w:r w:rsidRPr="00FE3B55">
              <w:rPr>
                <w:rFonts w:ascii="Sakkal Majalla" w:hAnsi="Sakkal Majalla" w:cs="Sakkal Majalla" w:hint="cs"/>
                <w:rtl/>
              </w:rPr>
              <w:t>.</w:t>
            </w:r>
          </w:p>
          <w:p w:rsidR="00EE35FA" w:rsidRPr="00FE3B55" w:rsidRDefault="00FE3B55" w:rsidP="00FE3B55">
            <w:pPr>
              <w:pStyle w:val="Paragraphedeliste"/>
              <w:numPr>
                <w:ilvl w:val="0"/>
                <w:numId w:val="17"/>
              </w:numPr>
              <w:jc w:val="both"/>
              <w:rPr>
                <w:rFonts w:ascii="Candara" w:hAnsi="Candara"/>
                <w:b/>
                <w:bCs/>
                <w:sz w:val="16"/>
                <w:szCs w:val="16"/>
                <w:lang w:bidi="ar-MA"/>
              </w:rPr>
            </w:pPr>
            <w:r w:rsidRPr="00FE3B55">
              <w:rPr>
                <w:rFonts w:ascii="Sakkal Majalla" w:hAnsi="Sakkal Majalla" w:cs="Sakkal Majalla" w:hint="cs"/>
                <w:rtl/>
              </w:rPr>
              <w:t xml:space="preserve">للخروج من هذا الاحتراز الإيديولوجي، نقترح في هذا الدرس الاحتكام إلى الأسس </w:t>
            </w:r>
            <w:proofErr w:type="spellStart"/>
            <w:r w:rsidRPr="00FE3B55">
              <w:rPr>
                <w:rFonts w:ascii="Sakkal Majalla" w:hAnsi="Sakkal Majalla" w:cs="Sakkal Majalla" w:hint="cs"/>
                <w:rtl/>
              </w:rPr>
              <w:t>الإيبستيمولوجية</w:t>
            </w:r>
            <w:proofErr w:type="spellEnd"/>
            <w:r w:rsidRPr="00FE3B55">
              <w:rPr>
                <w:rFonts w:ascii="Sakkal Majalla" w:hAnsi="Sakkal Majalla" w:cs="Sakkal Majalla" w:hint="cs"/>
                <w:rtl/>
              </w:rPr>
              <w:t xml:space="preserve"> والمنهجية في تعريف الأنثروبولوجيا الثقافية والاجتماعية وإعادة بناء تاريخ كل منهما. فإلى جانب السياق الاجتماعي والسياسي الذي نشأت فيه الأنثروبولوجيا وتشكلت فيه مختلف تياراتها، لا مندوحة من إلقاء الضوء على المنهجية التي ميزت مختلف المذاهب </w:t>
            </w:r>
            <w:proofErr w:type="spellStart"/>
            <w:r w:rsidRPr="00FE3B55">
              <w:rPr>
                <w:rFonts w:ascii="Sakkal Majalla" w:hAnsi="Sakkal Majalla" w:cs="Sakkal Majalla" w:hint="cs"/>
                <w:rtl/>
              </w:rPr>
              <w:t>الأنثروبولوجية</w:t>
            </w:r>
            <w:proofErr w:type="spellEnd"/>
            <w:r w:rsidRPr="00FE3B55">
              <w:rPr>
                <w:rFonts w:ascii="Sakkal Majalla" w:hAnsi="Sakkal Majalla" w:cs="Sakkal Majalla" w:hint="cs"/>
                <w:rtl/>
              </w:rPr>
              <w:t>: المنهج المقارن، التحليل البنيوي-الوظيفي، التحليل البنيوي، الوصف المكثف</w:t>
            </w: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FE3B55" w:rsidP="00FE3B55">
            <w:pPr>
              <w:pStyle w:val="Corpsdetexte"/>
              <w:bidi/>
              <w:ind w:left="360"/>
              <w:rPr>
                <w:rFonts w:ascii="Candara" w:hAnsi="Candara"/>
                <w:b/>
                <w:bCs w:val="0"/>
              </w:rPr>
            </w:pPr>
            <w:r>
              <w:rPr>
                <w:rFonts w:ascii="Wingdings" w:hAnsi="Wingdings"/>
                <w:bCs w:val="0"/>
                <w:highlight w:val="lightGray"/>
              </w:rPr>
              <w:sym w:font="Wingdings" w:char="F078"/>
            </w:r>
            <w:r w:rsidR="00567F6F"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FE3B55" w:rsidP="00FE3B55">
            <w:pPr>
              <w:pStyle w:val="Corpsdetexte"/>
              <w:bidi/>
              <w:ind w:left="360"/>
              <w:rPr>
                <w:rFonts w:ascii="Candara" w:hAnsi="Candara"/>
                <w:b/>
                <w:bCs w:val="0"/>
                <w:sz w:val="22"/>
                <w:szCs w:val="22"/>
              </w:rPr>
            </w:pPr>
            <w:r>
              <w:rPr>
                <w:rFonts w:ascii="Wingdings" w:hAnsi="Wingdings"/>
                <w:bCs w:val="0"/>
                <w:sz w:val="22"/>
                <w:szCs w:val="22"/>
                <w:highlight w:val="lightGray"/>
              </w:rPr>
              <w:sym w:font="Wingdings" w:char="F078"/>
            </w:r>
            <w:r>
              <w:rPr>
                <w:rFonts w:ascii="Wingdings" w:hAnsi="Wingdings" w:hint="cs"/>
                <w:b/>
                <w:caps/>
                <w:sz w:val="22"/>
                <w:szCs w:val="22"/>
                <w:rtl/>
              </w:rPr>
              <w:t xml:space="preserve"> </w:t>
            </w:r>
            <w:r w:rsidR="00567F6F"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lastRenderedPageBreak/>
              <w:t xml:space="preserve"> </w:t>
            </w:r>
            <w:r w:rsidRPr="00567F6F">
              <w:rPr>
                <w:rFonts w:ascii="Candara" w:hAnsi="Candara" w:cs="AL-Mohanad Bold" w:hint="cs"/>
                <w:b/>
                <w:i/>
                <w:iCs/>
                <w:caps/>
                <w:sz w:val="22"/>
                <w:szCs w:val="22"/>
                <w:rtl/>
              </w:rPr>
              <w:t xml:space="preserve">(تحديد </w:t>
            </w:r>
            <w:proofErr w:type="gramStart"/>
            <w:r w:rsidRPr="00567F6F">
              <w:rPr>
                <w:rFonts w:ascii="Candara" w:hAnsi="Candara" w:cs="AL-Mohanad Bold" w:hint="cs"/>
                <w:b/>
                <w:i/>
                <w:iCs/>
                <w:caps/>
                <w:sz w:val="22"/>
                <w:szCs w:val="22"/>
                <w:rtl/>
              </w:rPr>
              <w:t xml:space="preserve">طبيعته </w:t>
            </w:r>
            <w:r w:rsidRPr="00567F6F">
              <w:rPr>
                <w:rFonts w:ascii="ae_AlMohanad" w:hAnsi="ae_AlMohanad" w:cs="ae_AlMohanad"/>
                <w:bCs w:val="0"/>
                <w:rtl/>
              </w:rPr>
              <w:t>:</w:t>
            </w:r>
            <w:proofErr w:type="gramEnd"/>
            <w:r w:rsidRPr="00567F6F">
              <w:rPr>
                <w:rFonts w:ascii="ae_AlMohanad" w:hAnsi="ae_AlMohanad" w:cs="ae_AlMohanad"/>
                <w:bCs w:val="0"/>
                <w:rtl/>
              </w:rPr>
              <w:t xml:space="preserve">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altName w:val="Times New Roman"/>
    <w:charset w:val="00"/>
    <w:family w:val="auto"/>
    <w:pitch w:val="variable"/>
    <w:sig w:usb0="A0002027" w:usb1="80000000" w:usb2="00000108" w:usb3="00000000" w:csb0="000000D3"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5550A60"/>
    <w:multiLevelType w:val="hybridMultilevel"/>
    <w:tmpl w:val="4956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64B31"/>
    <w:multiLevelType w:val="hybridMultilevel"/>
    <w:tmpl w:val="C04EE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5214C"/>
    <w:multiLevelType w:val="hybridMultilevel"/>
    <w:tmpl w:val="47C23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287B1E68"/>
    <w:multiLevelType w:val="hybridMultilevel"/>
    <w:tmpl w:val="C8284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F21AF7"/>
    <w:multiLevelType w:val="hybridMultilevel"/>
    <w:tmpl w:val="E7985568"/>
    <w:lvl w:ilvl="0" w:tplc="04090001">
      <w:start w:val="1"/>
      <w:numFmt w:val="bullet"/>
      <w:lvlText w:val=""/>
      <w:lvlJc w:val="left"/>
      <w:pPr>
        <w:ind w:left="720" w:hanging="360"/>
      </w:pPr>
      <w:rPr>
        <w:rFonts w:ascii="Symbol" w:hAnsi="Symbol" w:hint="default"/>
      </w:rPr>
    </w:lvl>
    <w:lvl w:ilvl="1" w:tplc="DAEE8F9A">
      <w:numFmt w:val="bullet"/>
      <w:lvlText w:val="-"/>
      <w:lvlJc w:val="left"/>
      <w:pPr>
        <w:ind w:left="1440" w:hanging="360"/>
      </w:pPr>
      <w:rPr>
        <w:rFonts w:ascii="Sakkal Majalla" w:eastAsia="Times New Roman" w:hAnsi="Sakkal Majalla" w:cs="Sakkal Majall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12"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E94086"/>
    <w:multiLevelType w:val="hybridMultilevel"/>
    <w:tmpl w:val="0F3A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4"/>
  </w:num>
  <w:num w:numId="2">
    <w:abstractNumId w:val="13"/>
  </w:num>
  <w:num w:numId="3">
    <w:abstractNumId w:val="1"/>
  </w:num>
  <w:num w:numId="4">
    <w:abstractNumId w:val="17"/>
  </w:num>
  <w:num w:numId="5">
    <w:abstractNumId w:val="3"/>
  </w:num>
  <w:num w:numId="6">
    <w:abstractNumId w:val="2"/>
  </w:num>
  <w:num w:numId="7">
    <w:abstractNumId w:val="0"/>
  </w:num>
  <w:num w:numId="8">
    <w:abstractNumId w:val="9"/>
  </w:num>
  <w:num w:numId="9">
    <w:abstractNumId w:val="12"/>
  </w:num>
  <w:num w:numId="10">
    <w:abstractNumId w:val="7"/>
  </w:num>
  <w:num w:numId="11">
    <w:abstractNumId w:val="11"/>
  </w:num>
  <w:num w:numId="12">
    <w:abstractNumId w:val="16"/>
  </w:num>
  <w:num w:numId="13">
    <w:abstractNumId w:val="10"/>
  </w:num>
  <w:num w:numId="14">
    <w:abstractNumId w:val="15"/>
  </w:num>
  <w:num w:numId="15">
    <w:abstractNumId w:val="5"/>
  </w:num>
  <w:num w:numId="16">
    <w:abstractNumId w:val="4"/>
  </w:num>
  <w:num w:numId="17">
    <w:abstractNumId w:val="8"/>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5569B"/>
    <w:rsid w:val="001A1C73"/>
    <w:rsid w:val="001D67C7"/>
    <w:rsid w:val="002A6260"/>
    <w:rsid w:val="002C1C59"/>
    <w:rsid w:val="00310CA3"/>
    <w:rsid w:val="003C75E7"/>
    <w:rsid w:val="00476713"/>
    <w:rsid w:val="00567F6F"/>
    <w:rsid w:val="00590FFF"/>
    <w:rsid w:val="005A4C08"/>
    <w:rsid w:val="0066219E"/>
    <w:rsid w:val="00724184"/>
    <w:rsid w:val="007F0D56"/>
    <w:rsid w:val="007F5FA1"/>
    <w:rsid w:val="008B2117"/>
    <w:rsid w:val="00970EBA"/>
    <w:rsid w:val="009B32C3"/>
    <w:rsid w:val="00A421CE"/>
    <w:rsid w:val="00A50D04"/>
    <w:rsid w:val="00A57D8E"/>
    <w:rsid w:val="00AA70E5"/>
    <w:rsid w:val="00AC39A5"/>
    <w:rsid w:val="00B03CB0"/>
    <w:rsid w:val="00B5658F"/>
    <w:rsid w:val="00B77132"/>
    <w:rsid w:val="00BA5DF7"/>
    <w:rsid w:val="00BB4BCB"/>
    <w:rsid w:val="00BB6187"/>
    <w:rsid w:val="00BD3475"/>
    <w:rsid w:val="00BE6514"/>
    <w:rsid w:val="00D159B6"/>
    <w:rsid w:val="00D5588E"/>
    <w:rsid w:val="00DD49E5"/>
    <w:rsid w:val="00DE0BB5"/>
    <w:rsid w:val="00E317B5"/>
    <w:rsid w:val="00EE35FA"/>
    <w:rsid w:val="00FE3B5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13EFD"/>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E0530-8F4B-4513-BB1A-7AE5EC11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704</Words>
  <Characters>4018</Characters>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2021-02-10T16:56:00Z</dcterms:modified>
</cp:coreProperties>
</file>