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093F83">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vAlign w:val="center"/>
          </w:tcPr>
          <w:p w:rsidR="00EE35FA" w:rsidRPr="00C41829" w:rsidRDefault="00093F83" w:rsidP="00093F83">
            <w:pPr>
              <w:spacing w:line="360" w:lineRule="auto"/>
              <w:rPr>
                <w:rFonts w:ascii="Candara" w:hAnsi="Candara"/>
                <w:b/>
                <w:caps/>
                <w:sz w:val="20"/>
                <w:szCs w:val="20"/>
                <w:lang w:eastAsia="fr-CA" w:bidi="ar-MA"/>
              </w:rPr>
            </w:pPr>
            <w:r w:rsidRPr="00D22292">
              <w:rPr>
                <w:rFonts w:ascii="Arial" w:hAnsi="Arial" w:cs="Arial" w:hint="cs"/>
                <w:b/>
                <w:bCs/>
                <w:color w:val="000000"/>
                <w:sz w:val="25"/>
                <w:szCs w:val="25"/>
                <w:rtl/>
              </w:rPr>
              <w:t>أخلاقيات علوم الحياة والطبيعة</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D14293" w:rsidRDefault="00093F83" w:rsidP="00D5588E">
            <w:pPr>
              <w:pStyle w:val="Paragraphedeliste"/>
              <w:spacing w:line="240" w:lineRule="exact"/>
              <w:ind w:left="0"/>
              <w:rPr>
                <w:rFonts w:ascii="Candara" w:hAnsi="Candara"/>
                <w:b/>
                <w:bCs/>
                <w:color w:val="FF0000"/>
                <w:sz w:val="20"/>
                <w:szCs w:val="20"/>
                <w:lang w:eastAsia="fr-FR" w:bidi="ar-MA"/>
              </w:rPr>
            </w:pPr>
            <w:r w:rsidRPr="00D22292">
              <w:rPr>
                <w:rFonts w:ascii="Arial" w:hAnsi="Arial" w:cs="Arial" w:hint="cs"/>
                <w:b/>
                <w:bCs/>
                <w:color w:val="000000"/>
                <w:sz w:val="25"/>
                <w:szCs w:val="25"/>
                <w:rtl/>
              </w:rPr>
              <w:t>أخلاقيات علوم الحياة والطبيعة</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093F83" w:rsidRDefault="00093F83" w:rsidP="00C25FDC">
            <w:pPr>
              <w:pStyle w:val="Paragraphedeliste"/>
              <w:spacing w:line="240" w:lineRule="exact"/>
              <w:ind w:left="0"/>
              <w:rPr>
                <w:rFonts w:ascii="Candara" w:hAnsi="Candara"/>
                <w:b/>
                <w:bCs/>
                <w:color w:val="000000" w:themeColor="text1"/>
                <w:lang w:eastAsia="fr-FR" w:bidi="ar-MA"/>
              </w:rPr>
            </w:pPr>
            <w:r w:rsidRPr="00093F83">
              <w:rPr>
                <w:rFonts w:ascii="Candara" w:hAnsi="Candara" w:hint="cs"/>
                <w:b/>
                <w:bCs/>
                <w:color w:val="000000" w:themeColor="text1"/>
                <w:rtl/>
                <w:lang w:eastAsia="fr-FR" w:bidi="ar-MA"/>
              </w:rPr>
              <w:t xml:space="preserve">الفصل 1 أو الفصل </w:t>
            </w:r>
            <w:r w:rsidR="00C25FDC">
              <w:rPr>
                <w:rFonts w:ascii="Candara" w:hAnsi="Candara" w:hint="cs"/>
                <w:b/>
                <w:bCs/>
                <w:color w:val="000000" w:themeColor="text1"/>
                <w:rtl/>
                <w:lang w:eastAsia="fr-FR" w:bidi="ar-MA"/>
              </w:rPr>
              <w:t>2</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093F83" w:rsidRDefault="00093F83" w:rsidP="00D5588E">
            <w:pPr>
              <w:pStyle w:val="Paragraphedeliste"/>
              <w:spacing w:line="240" w:lineRule="exact"/>
              <w:ind w:left="0"/>
              <w:rPr>
                <w:rFonts w:ascii="Candara" w:hAnsi="Candara"/>
                <w:b/>
                <w:bCs/>
                <w:color w:val="000000" w:themeColor="text1"/>
                <w:lang w:eastAsia="fr-FR" w:bidi="ar-MA"/>
              </w:rPr>
            </w:pPr>
            <w:r>
              <w:rPr>
                <w:rFonts w:ascii="Candara" w:hAnsi="Candara" w:hint="cs"/>
                <w:b/>
                <w:bCs/>
                <w:color w:val="000000" w:themeColor="text1"/>
                <w:rtl/>
                <w:lang w:eastAsia="fr-FR" w:bidi="ar-MA"/>
              </w:rPr>
              <w:t>وحدة عامة للانفتاح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093F83" w:rsidRDefault="00093F83" w:rsidP="00D5588E">
            <w:pPr>
              <w:pStyle w:val="Paragraphedeliste"/>
              <w:spacing w:line="240" w:lineRule="exact"/>
              <w:ind w:left="0"/>
              <w:rPr>
                <w:rFonts w:ascii="Candara" w:hAnsi="Candara"/>
                <w:b/>
                <w:bCs/>
                <w:color w:val="000000" w:themeColor="text1"/>
                <w:lang w:eastAsia="fr-FR" w:bidi="ar-MA"/>
              </w:rPr>
            </w:pPr>
            <w:r>
              <w:rPr>
                <w:rFonts w:ascii="Candara" w:hAnsi="Candara" w:hint="cs"/>
                <w:b/>
                <w:bCs/>
                <w:color w:val="000000" w:themeColor="text1"/>
                <w:rtl/>
                <w:lang w:eastAsia="fr-FR" w:bidi="ar-MA"/>
              </w:rPr>
              <w:t>3 أرصدة قياسية</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E35FA" w:rsidRPr="00093F83" w:rsidRDefault="00EE35FA" w:rsidP="00D5588E">
            <w:pPr>
              <w:pStyle w:val="Paragraphedeliste"/>
              <w:spacing w:line="240" w:lineRule="exact"/>
              <w:ind w:left="0"/>
              <w:rPr>
                <w:rFonts w:ascii="Candara" w:hAnsi="Candara"/>
                <w:b/>
                <w:bCs/>
                <w:color w:val="000000" w:themeColor="text1"/>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093F83" w:rsidRDefault="00C25FDC" w:rsidP="00D5588E">
            <w:pPr>
              <w:pStyle w:val="Paragraphedeliste"/>
              <w:spacing w:line="240" w:lineRule="exact"/>
              <w:ind w:left="0"/>
              <w:rPr>
                <w:rFonts w:ascii="Candara" w:hAnsi="Candara"/>
                <w:b/>
                <w:bCs/>
                <w:color w:val="000000" w:themeColor="text1"/>
                <w:lang w:eastAsia="fr-FR" w:bidi="ar-MA"/>
              </w:rPr>
            </w:pPr>
            <w:r>
              <w:rPr>
                <w:rFonts w:ascii="Candara" w:hAnsi="Candara" w:hint="cs"/>
                <w:b/>
                <w:bCs/>
                <w:color w:val="000000" w:themeColor="text1"/>
                <w:rtl/>
                <w:lang w:eastAsia="fr-FR" w:bidi="ar-MA"/>
              </w:rPr>
              <w:t>العربية / الفرنسية</w:t>
            </w: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093F83" w:rsidP="00093F83">
            <w:pPr>
              <w:spacing w:line="360" w:lineRule="auto"/>
              <w:jc w:val="center"/>
              <w:rPr>
                <w:rFonts w:ascii="Candara" w:hAnsi="Candara"/>
                <w:b/>
                <w:bCs/>
                <w:sz w:val="22"/>
                <w:szCs w:val="22"/>
                <w:lang w:bidi="ar-MA"/>
              </w:rPr>
            </w:pPr>
            <w:r>
              <w:rPr>
                <w:rFonts w:ascii="Candara" w:hAnsi="Candara" w:hint="cs"/>
                <w:b/>
                <w:bCs/>
                <w:sz w:val="22"/>
                <w:szCs w:val="22"/>
                <w:rtl/>
                <w:lang w:bidi="ar-MA"/>
              </w:rPr>
              <w:t>30</w:t>
            </w:r>
            <w:r w:rsidR="00BD3475" w:rsidRPr="005A4C08">
              <w:rPr>
                <w:rFonts w:ascii="Candara" w:hAnsi="Candara" w:hint="cs"/>
                <w:b/>
                <w:bCs/>
                <w:sz w:val="22"/>
                <w:szCs w:val="22"/>
                <w:rtl/>
                <w:lang w:bidi="ar-MA"/>
              </w:rPr>
              <w:t xml:space="preserve">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093F83" w:rsidP="00093F83">
            <w:pPr>
              <w:spacing w:line="360" w:lineRule="auto"/>
              <w:jc w:val="center"/>
              <w:rPr>
                <w:rFonts w:ascii="Candara" w:hAnsi="Candara"/>
                <w:b/>
                <w:bCs/>
                <w:sz w:val="22"/>
                <w:szCs w:val="22"/>
                <w:lang w:bidi="ar-MA"/>
              </w:rPr>
            </w:pPr>
            <w:r>
              <w:rPr>
                <w:rFonts w:ascii="Candara" w:hAnsi="Candara" w:hint="cs"/>
                <w:b/>
                <w:bCs/>
                <w:sz w:val="22"/>
                <w:szCs w:val="22"/>
                <w:rtl/>
                <w:lang w:bidi="ar-MA"/>
              </w:rPr>
              <w:t>30</w:t>
            </w:r>
            <w:r w:rsidR="008B2117" w:rsidRPr="005A4C08">
              <w:rPr>
                <w:rFonts w:ascii="Candara" w:hAnsi="Candara" w:hint="cs"/>
                <w:b/>
                <w:bCs/>
                <w:sz w:val="22"/>
                <w:szCs w:val="22"/>
                <w:rtl/>
                <w:lang w:bidi="ar-MA"/>
              </w:rPr>
              <w:t xml:space="preserve">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093F83">
        <w:trPr>
          <w:trHeight w:val="50"/>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093F83" w:rsidRPr="00093F83" w:rsidRDefault="00093F83" w:rsidP="00093F83">
            <w:pPr>
              <w:pStyle w:val="Paragraphedeliste"/>
              <w:numPr>
                <w:ilvl w:val="0"/>
                <w:numId w:val="13"/>
              </w:numPr>
              <w:spacing w:line="360" w:lineRule="auto"/>
              <w:ind w:left="188" w:hanging="188"/>
              <w:jc w:val="both"/>
              <w:rPr>
                <w:rFonts w:ascii="HacenTunisiaLtRegular" w:hAnsi="HacenTunisiaLtRegular"/>
                <w:b/>
                <w:bCs/>
                <w:color w:val="000000" w:themeColor="text1"/>
                <w:shd w:val="clear" w:color="auto" w:fill="FFFFFF"/>
              </w:rPr>
            </w:pPr>
            <w:r w:rsidRPr="00093F83">
              <w:rPr>
                <w:rFonts w:ascii="HacenTunisiaLtRegular" w:hAnsi="HacenTunisiaLtRegular" w:hint="cs"/>
                <w:b/>
                <w:bCs/>
                <w:color w:val="000000" w:themeColor="text1"/>
                <w:shd w:val="clear" w:color="auto" w:fill="FFFFFF"/>
                <w:rtl/>
              </w:rPr>
              <w:t xml:space="preserve">الهدف من خلال هذه الوحدة هو تعريف الطالب بمشكلات </w:t>
            </w:r>
            <w:r w:rsidRPr="00093F83">
              <w:rPr>
                <w:rFonts w:ascii="HacenTunisiaLtRegular" w:hAnsi="HacenTunisiaLtRegular"/>
                <w:b/>
                <w:bCs/>
                <w:color w:val="000000" w:themeColor="text1"/>
                <w:shd w:val="clear" w:color="auto" w:fill="FFFFFF"/>
                <w:rtl/>
              </w:rPr>
              <w:t xml:space="preserve">أخلاقيّات </w:t>
            </w:r>
            <w:r w:rsidRPr="00093F83">
              <w:rPr>
                <w:rFonts w:ascii="Arial" w:hAnsi="Arial" w:cs="Arial" w:hint="cs"/>
                <w:b/>
                <w:bCs/>
                <w:color w:val="000000"/>
                <w:rtl/>
              </w:rPr>
              <w:t>الحياة والطبيعة</w:t>
            </w:r>
            <w:r w:rsidRPr="00093F83">
              <w:rPr>
                <w:rFonts w:ascii="HacenTunisiaLtRegular" w:hAnsi="HacenTunisiaLtRegular" w:hint="cs"/>
                <w:b/>
                <w:bCs/>
                <w:color w:val="000000" w:themeColor="text1"/>
                <w:shd w:val="clear" w:color="auto" w:fill="FFFFFF"/>
                <w:rtl/>
              </w:rPr>
              <w:t xml:space="preserve"> وعلاقتها بمنظومة</w:t>
            </w:r>
            <w:r w:rsidRPr="00093F83">
              <w:rPr>
                <w:rFonts w:ascii="HacenTunisiaLtRegular" w:hAnsi="HacenTunisiaLtRegular"/>
                <w:b/>
                <w:bCs/>
                <w:color w:val="000000" w:themeColor="text1"/>
                <w:shd w:val="clear" w:color="auto" w:fill="FFFFFF"/>
                <w:rtl/>
              </w:rPr>
              <w:t xml:space="preserve"> </w:t>
            </w:r>
            <w:r w:rsidRPr="00093F83">
              <w:rPr>
                <w:rFonts w:ascii="HacenTunisiaLtRegular" w:hAnsi="HacenTunisiaLtRegular" w:hint="cs"/>
                <w:b/>
                <w:bCs/>
                <w:color w:val="000000" w:themeColor="text1"/>
                <w:shd w:val="clear" w:color="auto" w:fill="FFFFFF"/>
                <w:rtl/>
              </w:rPr>
              <w:t>القيم التي</w:t>
            </w:r>
            <w:r w:rsidRPr="00093F83">
              <w:rPr>
                <w:rFonts w:ascii="HacenTunisiaLtRegular" w:hAnsi="HacenTunisiaLtRegular"/>
                <w:b/>
                <w:bCs/>
                <w:color w:val="000000" w:themeColor="text1"/>
                <w:shd w:val="clear" w:color="auto" w:fill="FFFFFF"/>
                <w:rtl/>
              </w:rPr>
              <w:t xml:space="preserve"> تنظّم سلوك المتدخّلين في حياة </w:t>
            </w:r>
            <w:r w:rsidRPr="00093F83">
              <w:rPr>
                <w:rFonts w:ascii="HacenTunisiaLtRegular" w:hAnsi="HacenTunisiaLtRegular" w:hint="cs"/>
                <w:b/>
                <w:bCs/>
                <w:color w:val="000000" w:themeColor="text1"/>
                <w:shd w:val="clear" w:color="auto" w:fill="FFFFFF"/>
                <w:rtl/>
              </w:rPr>
              <w:t>الإنسان</w:t>
            </w:r>
            <w:r w:rsidRPr="00093F83">
              <w:rPr>
                <w:rFonts w:ascii="HacenTunisiaLtRegular" w:hAnsi="HacenTunisiaLtRegular"/>
                <w:b/>
                <w:bCs/>
                <w:color w:val="000000" w:themeColor="text1"/>
                <w:shd w:val="clear" w:color="auto" w:fill="FFFFFF"/>
                <w:rtl/>
              </w:rPr>
              <w:t>. خاصّة أمام ما أثاره تطوّر علم الأحياء من إشكالات لم تعهدها المجتمعات البشريّة (الاستنساخ، الإنجاب الاصطناعي، الهندسة الوراثيّة.</w:t>
            </w:r>
            <w:r w:rsidRPr="00093F83">
              <w:rPr>
                <w:rFonts w:ascii="HacenTunisiaLtRegular" w:hAnsi="HacenTunisiaLtRegular" w:hint="cs"/>
                <w:b/>
                <w:bCs/>
                <w:color w:val="000000" w:themeColor="text1"/>
                <w:shd w:val="clear" w:color="auto" w:fill="FFFFFF"/>
                <w:rtl/>
              </w:rPr>
              <w:t>..</w:t>
            </w:r>
            <w:r w:rsidRPr="00093F83">
              <w:rPr>
                <w:rFonts w:ascii="HacenTunisiaLtRegular" w:hAnsi="HacenTunisiaLtRegular"/>
                <w:b/>
                <w:bCs/>
                <w:color w:val="000000" w:themeColor="text1"/>
                <w:shd w:val="clear" w:color="auto" w:fill="FFFFFF"/>
                <w:rtl/>
              </w:rPr>
              <w:t>).</w:t>
            </w:r>
            <w:r w:rsidRPr="00093F83">
              <w:rPr>
                <w:rFonts w:ascii="HacenTunisiaLtRegular" w:hAnsi="HacenTunisiaLtRegular" w:hint="cs"/>
                <w:b/>
                <w:bCs/>
                <w:color w:val="000000" w:themeColor="text1"/>
                <w:shd w:val="clear" w:color="auto" w:fill="FFFFFF"/>
                <w:rtl/>
              </w:rPr>
              <w:t xml:space="preserve"> سيحاول</w:t>
            </w:r>
            <w:r w:rsidRPr="00093F83">
              <w:rPr>
                <w:rFonts w:ascii="HacenTunisiaLtRegular" w:hAnsi="HacenTunisiaLtRegular"/>
                <w:b/>
                <w:bCs/>
                <w:color w:val="000000" w:themeColor="text1"/>
                <w:shd w:val="clear" w:color="auto" w:fill="FFFFFF"/>
                <w:rtl/>
              </w:rPr>
              <w:t xml:space="preserve"> </w:t>
            </w:r>
            <w:r w:rsidRPr="00093F83">
              <w:rPr>
                <w:rFonts w:ascii="HacenTunisiaLtRegular" w:hAnsi="HacenTunisiaLtRegular" w:hint="cs"/>
                <w:b/>
                <w:bCs/>
                <w:color w:val="000000" w:themeColor="text1"/>
                <w:shd w:val="clear" w:color="auto" w:fill="FFFFFF"/>
                <w:rtl/>
              </w:rPr>
              <w:t>فهم أبعاد وجهات النظر التي تناقش نظريات الحداثة التقنية والتقدم العلمي الذي أصبح يطرح مخاوف حقيقية تتطلب قيودا أخلاقية. سنرى كيف أن مجموعة من الفلاسفة ومن بينهم يورغن هابرماس يطرحون فكرة محورية حول طبيعة العلاقة التي من المفترض أن تجمع بين الصحة والمرض والمجتمع، وما تطرحه</w:t>
            </w:r>
            <w:r w:rsidRPr="00093F83">
              <w:rPr>
                <w:rFonts w:ascii="HacenTunisiaLtRegular" w:hAnsi="HacenTunisiaLtRegular"/>
                <w:b/>
                <w:bCs/>
                <w:color w:val="000000" w:themeColor="text1"/>
                <w:shd w:val="clear" w:color="auto" w:fill="FFFFFF"/>
              </w:rPr>
              <w:t xml:space="preserve"> </w:t>
            </w:r>
            <w:r w:rsidRPr="00093F83">
              <w:rPr>
                <w:rFonts w:ascii="HacenTunisiaLtRegular" w:hAnsi="HacenTunisiaLtRegular" w:hint="cs"/>
                <w:b/>
                <w:bCs/>
                <w:color w:val="000000" w:themeColor="text1"/>
                <w:shd w:val="clear" w:color="auto" w:fill="FFFFFF"/>
                <w:rtl/>
              </w:rPr>
              <w:t xml:space="preserve">هذه العلاقة من تعددية في القيم وتضاربها. سنحلل خطاب مبادئ الفلسفة التي تؤكد على </w:t>
            </w:r>
            <w:r w:rsidRPr="00093F83">
              <w:rPr>
                <w:rFonts w:ascii="HacenTunisiaLtRegular" w:hAnsi="HacenTunisiaLtRegular"/>
                <w:b/>
                <w:bCs/>
                <w:color w:val="000000" w:themeColor="text1"/>
                <w:shd w:val="clear" w:color="auto" w:fill="FFFFFF"/>
                <w:rtl/>
              </w:rPr>
              <w:t xml:space="preserve">الحاجة إلى </w:t>
            </w:r>
            <w:r w:rsidRPr="00093F83">
              <w:rPr>
                <w:rFonts w:ascii="HacenTunisiaLtRegular" w:hAnsi="HacenTunisiaLtRegular" w:hint="cs"/>
                <w:b/>
                <w:bCs/>
                <w:color w:val="000000" w:themeColor="text1"/>
                <w:shd w:val="clear" w:color="auto" w:fill="FFFFFF"/>
                <w:rtl/>
              </w:rPr>
              <w:t>أخلاقيات عالمية وإصدار تشريعات. وسنحدد أوجه الاختلاف والتشابه في وجهات النظر بين مجموعة من الفلاسفة المعاصرين: </w:t>
            </w:r>
          </w:p>
          <w:p w:rsidR="00093F83" w:rsidRPr="00093F83" w:rsidRDefault="00093F83" w:rsidP="00093F83">
            <w:pPr>
              <w:spacing w:line="360" w:lineRule="auto"/>
              <w:jc w:val="both"/>
              <w:rPr>
                <w:b/>
                <w:bCs/>
              </w:rPr>
            </w:pPr>
            <w:r w:rsidRPr="00093F83">
              <w:rPr>
                <w:rFonts w:ascii="Simplified Arabic" w:hAnsi="Simplified Arabic" w:cs="Simplified Arabic"/>
                <w:b/>
                <w:bCs/>
                <w:color w:val="000000"/>
              </w:rPr>
              <w:t>(</w:t>
            </w:r>
            <w:r w:rsidRPr="00093F83">
              <w:rPr>
                <w:rFonts w:asciiTheme="majorBidi" w:hAnsiTheme="majorBidi" w:cstheme="majorBidi"/>
                <w:b/>
                <w:bCs/>
                <w:color w:val="000000" w:themeColor="text1"/>
              </w:rPr>
              <w:t>Paul Ricœur, Jean Bernard,</w:t>
            </w:r>
            <w:r w:rsidRPr="00093F83">
              <w:rPr>
                <w:rFonts w:asciiTheme="majorBidi" w:hAnsiTheme="majorBidi" w:cstheme="majorBidi"/>
                <w:b/>
                <w:bCs/>
                <w:i/>
                <w:iCs/>
                <w:color w:val="000000" w:themeColor="text1"/>
              </w:rPr>
              <w:t xml:space="preserve"> </w:t>
            </w:r>
            <w:r w:rsidRPr="00093F83">
              <w:rPr>
                <w:rStyle w:val="Accentuation"/>
                <w:rFonts w:asciiTheme="majorBidi" w:hAnsiTheme="majorBidi" w:cstheme="majorBidi"/>
                <w:b/>
                <w:bCs/>
                <w:color w:val="000000" w:themeColor="text1"/>
              </w:rPr>
              <w:t>L. Ferry,</w:t>
            </w:r>
            <w:r w:rsidRPr="00093F83">
              <w:rPr>
                <w:rFonts w:asciiTheme="majorBidi" w:hAnsiTheme="majorBidi" w:cstheme="majorBidi"/>
                <w:b/>
                <w:bCs/>
                <w:color w:val="000000" w:themeColor="text1"/>
                <w:shd w:val="clear" w:color="auto" w:fill="FFFFFF"/>
              </w:rPr>
              <w:t xml:space="preserve"> Peter Sloterdijk</w:t>
            </w:r>
            <w:r w:rsidRPr="00093F83">
              <w:rPr>
                <w:rFonts w:ascii="Arial" w:hAnsi="Arial" w:cs="Arial"/>
                <w:b/>
                <w:bCs/>
                <w:color w:val="222222"/>
                <w:shd w:val="clear" w:color="auto" w:fill="FFFFFF"/>
              </w:rPr>
              <w:t>)</w:t>
            </w:r>
          </w:p>
          <w:p w:rsidR="00093F83" w:rsidRPr="00093F83" w:rsidRDefault="00093F83" w:rsidP="00093F83">
            <w:pPr>
              <w:spacing w:line="360" w:lineRule="auto"/>
              <w:jc w:val="both"/>
              <w:rPr>
                <w:b/>
                <w:bCs/>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C25FDC">
        <w:trPr>
          <w:trHeight w:val="3764"/>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bookmarkStart w:id="0" w:name="_GoBack"/>
            <w:bookmarkEnd w:id="0"/>
          </w:p>
          <w:p w:rsidR="00C25FDC" w:rsidRPr="00C25FDC" w:rsidRDefault="00C25FDC" w:rsidP="00C25FDC">
            <w:pPr>
              <w:pStyle w:val="bodytext"/>
              <w:bidi/>
              <w:spacing w:after="150"/>
              <w:rPr>
                <w:rFonts w:ascii="Arial" w:hAnsi="Arial" w:cs="Arial"/>
                <w:b/>
                <w:bCs/>
                <w:color w:val="000000"/>
                <w:sz w:val="25"/>
                <w:szCs w:val="25"/>
                <w:rtl/>
              </w:rPr>
            </w:pPr>
            <w:r w:rsidRPr="00C25FDC">
              <w:rPr>
                <w:rFonts w:ascii="Arial" w:hAnsi="Arial" w:cs="Arial"/>
                <w:b/>
                <w:bCs/>
                <w:color w:val="000000"/>
                <w:sz w:val="25"/>
                <w:szCs w:val="25"/>
                <w:rtl/>
              </w:rPr>
              <w:t xml:space="preserve">سيتم تنظيم </w:t>
            </w:r>
            <w:r w:rsidRPr="00C25FDC">
              <w:rPr>
                <w:rFonts w:ascii="Arial" w:hAnsi="Arial" w:cs="Arial" w:hint="cs"/>
                <w:b/>
                <w:bCs/>
                <w:color w:val="000000"/>
                <w:sz w:val="25"/>
                <w:szCs w:val="25"/>
                <w:rtl/>
              </w:rPr>
              <w:t xml:space="preserve">الحصص على </w:t>
            </w:r>
            <w:r w:rsidRPr="00C25FDC">
              <w:rPr>
                <w:rFonts w:ascii="Arial" w:hAnsi="Arial" w:cs="Arial"/>
                <w:b/>
                <w:bCs/>
                <w:color w:val="000000"/>
                <w:sz w:val="25"/>
                <w:szCs w:val="25"/>
                <w:rtl/>
              </w:rPr>
              <w:t>عدة مراحل متتالية</w:t>
            </w:r>
            <w:r w:rsidRPr="00C25FDC">
              <w:rPr>
                <w:rFonts w:ascii="Arial" w:hAnsi="Arial" w:cs="Arial"/>
                <w:b/>
                <w:bCs/>
                <w:color w:val="000000"/>
                <w:sz w:val="25"/>
                <w:szCs w:val="25"/>
              </w:rPr>
              <w:t>:</w:t>
            </w:r>
          </w:p>
          <w:p w:rsidR="00C25FDC" w:rsidRPr="00C25FDC" w:rsidRDefault="00C25FDC" w:rsidP="00C25FDC">
            <w:pPr>
              <w:pStyle w:val="bodytext"/>
              <w:numPr>
                <w:ilvl w:val="0"/>
                <w:numId w:val="16"/>
              </w:numPr>
              <w:bidi/>
              <w:spacing w:after="150" w:line="360" w:lineRule="auto"/>
              <w:rPr>
                <w:rFonts w:ascii="Arial" w:hAnsi="Arial" w:cs="Arial"/>
                <w:b/>
                <w:bCs/>
                <w:color w:val="000000"/>
                <w:rtl/>
              </w:rPr>
            </w:pPr>
            <w:r w:rsidRPr="00C25FDC">
              <w:rPr>
                <w:rFonts w:ascii="Arial" w:hAnsi="Arial" w:cs="Arial" w:hint="cs"/>
                <w:b/>
                <w:bCs/>
                <w:color w:val="000000"/>
                <w:rtl/>
              </w:rPr>
              <w:t>الت</w:t>
            </w:r>
            <w:r w:rsidRPr="00C25FDC">
              <w:rPr>
                <w:rFonts w:ascii="Arial" w:hAnsi="Arial" w:cs="Arial"/>
                <w:b/>
                <w:bCs/>
                <w:color w:val="000000"/>
                <w:rtl/>
              </w:rPr>
              <w:t>رك</w:t>
            </w:r>
            <w:r w:rsidRPr="00C25FDC">
              <w:rPr>
                <w:rFonts w:ascii="Arial" w:hAnsi="Arial" w:cs="Arial" w:hint="cs"/>
                <w:b/>
                <w:bCs/>
                <w:color w:val="000000"/>
                <w:rtl/>
              </w:rPr>
              <w:t>ي</w:t>
            </w:r>
            <w:r w:rsidRPr="00C25FDC">
              <w:rPr>
                <w:rFonts w:ascii="Arial" w:hAnsi="Arial" w:cs="Arial"/>
                <w:b/>
                <w:bCs/>
                <w:color w:val="000000"/>
                <w:rtl/>
              </w:rPr>
              <w:t xml:space="preserve">ز على موضوع </w:t>
            </w:r>
            <w:r w:rsidRPr="00C25FDC">
              <w:rPr>
                <w:rFonts w:ascii="Arial" w:hAnsi="Arial" w:cs="Arial" w:hint="cs"/>
                <w:b/>
                <w:bCs/>
                <w:color w:val="000000"/>
                <w:rtl/>
              </w:rPr>
              <w:t>معين في الحصة</w:t>
            </w:r>
            <w:r w:rsidRPr="00C25FDC">
              <w:rPr>
                <w:rFonts w:ascii="Arial" w:hAnsi="Arial" w:cs="Arial"/>
                <w:b/>
                <w:bCs/>
                <w:color w:val="000000"/>
                <w:rtl/>
              </w:rPr>
              <w:t xml:space="preserve"> (30 </w:t>
            </w:r>
            <w:r w:rsidRPr="00C25FDC">
              <w:rPr>
                <w:rFonts w:ascii="Arial" w:hAnsi="Arial" w:cs="Arial" w:hint="cs"/>
                <w:b/>
                <w:bCs/>
                <w:color w:val="000000"/>
                <w:rtl/>
              </w:rPr>
              <w:t>دقيقة)؛</w:t>
            </w:r>
          </w:p>
          <w:p w:rsidR="00C25FDC" w:rsidRPr="00C25FDC" w:rsidRDefault="00C25FDC" w:rsidP="00C25FDC">
            <w:pPr>
              <w:pStyle w:val="bodytext"/>
              <w:numPr>
                <w:ilvl w:val="0"/>
                <w:numId w:val="16"/>
              </w:numPr>
              <w:bidi/>
              <w:spacing w:after="150" w:line="360" w:lineRule="auto"/>
              <w:rPr>
                <w:rFonts w:ascii="Arial" w:hAnsi="Arial" w:cs="Arial"/>
                <w:b/>
                <w:bCs/>
                <w:color w:val="000000"/>
                <w:rtl/>
              </w:rPr>
            </w:pPr>
            <w:r w:rsidRPr="00C25FDC">
              <w:rPr>
                <w:rFonts w:ascii="Arial" w:hAnsi="Arial" w:cs="Arial"/>
                <w:b/>
                <w:bCs/>
                <w:color w:val="000000"/>
                <w:rtl/>
              </w:rPr>
              <w:t xml:space="preserve">تحليل نقدي </w:t>
            </w:r>
            <w:r w:rsidRPr="00C25FDC">
              <w:rPr>
                <w:rFonts w:ascii="Arial" w:hAnsi="Arial" w:cs="Arial" w:hint="cs"/>
                <w:b/>
                <w:bCs/>
                <w:color w:val="000000"/>
                <w:rtl/>
              </w:rPr>
              <w:t>لمقالات بحثية</w:t>
            </w:r>
            <w:r w:rsidRPr="00C25FDC">
              <w:rPr>
                <w:rFonts w:ascii="Arial" w:hAnsi="Arial" w:cs="Arial"/>
                <w:b/>
                <w:bCs/>
                <w:color w:val="000000"/>
                <w:rtl/>
              </w:rPr>
              <w:t xml:space="preserve"> (في </w:t>
            </w:r>
            <w:r w:rsidRPr="00C25FDC">
              <w:rPr>
                <w:rFonts w:ascii="Arial" w:hAnsi="Arial" w:cs="Arial" w:hint="cs"/>
                <w:b/>
                <w:bCs/>
                <w:color w:val="000000"/>
                <w:rtl/>
              </w:rPr>
              <w:t>إطار</w:t>
            </w:r>
            <w:r w:rsidRPr="00C25FDC">
              <w:rPr>
                <w:rFonts w:ascii="Arial" w:hAnsi="Arial" w:cs="Arial"/>
                <w:b/>
                <w:bCs/>
                <w:color w:val="000000"/>
              </w:rPr>
              <w:t xml:space="preserve"> </w:t>
            </w:r>
            <w:r w:rsidRPr="00C25FDC">
              <w:rPr>
                <w:rFonts w:ascii="Arial" w:hAnsi="Arial" w:cs="Arial"/>
                <w:b/>
                <w:bCs/>
                <w:color w:val="000000"/>
                <w:rtl/>
              </w:rPr>
              <w:t xml:space="preserve">مجموعات من 2 - 15 </w:t>
            </w:r>
            <w:r w:rsidRPr="00C25FDC">
              <w:rPr>
                <w:rFonts w:ascii="Arial" w:hAnsi="Arial" w:cs="Arial" w:hint="cs"/>
                <w:b/>
                <w:bCs/>
                <w:color w:val="000000"/>
                <w:rtl/>
              </w:rPr>
              <w:t>دقيقة)؛</w:t>
            </w:r>
            <w:r w:rsidRPr="00C25FDC">
              <w:rPr>
                <w:rFonts w:ascii="Arial" w:hAnsi="Arial" w:cs="Arial"/>
                <w:b/>
                <w:bCs/>
                <w:color w:val="000000"/>
                <w:rtl/>
              </w:rPr>
              <w:t xml:space="preserve"> </w:t>
            </w:r>
          </w:p>
          <w:p w:rsidR="00C25FDC" w:rsidRPr="00C25FDC" w:rsidRDefault="00C25FDC" w:rsidP="00C25FDC">
            <w:pPr>
              <w:pStyle w:val="bodytext"/>
              <w:numPr>
                <w:ilvl w:val="0"/>
                <w:numId w:val="16"/>
              </w:numPr>
              <w:bidi/>
              <w:spacing w:after="150" w:line="360" w:lineRule="auto"/>
              <w:rPr>
                <w:rFonts w:ascii="Arial" w:hAnsi="Arial" w:cs="Arial"/>
                <w:b/>
                <w:bCs/>
                <w:color w:val="000000"/>
                <w:rtl/>
              </w:rPr>
            </w:pPr>
            <w:r w:rsidRPr="00C25FDC">
              <w:rPr>
                <w:rFonts w:ascii="Arial" w:hAnsi="Arial" w:cs="Arial" w:hint="cs"/>
                <w:b/>
                <w:bCs/>
                <w:color w:val="000000"/>
                <w:rtl/>
              </w:rPr>
              <w:t>تمارين</w:t>
            </w:r>
            <w:r w:rsidRPr="00C25FDC">
              <w:rPr>
                <w:rFonts w:ascii="Arial" w:hAnsi="Arial" w:cs="Arial"/>
                <w:b/>
                <w:bCs/>
                <w:color w:val="000000"/>
                <w:rtl/>
              </w:rPr>
              <w:t xml:space="preserve"> </w:t>
            </w:r>
            <w:r w:rsidRPr="00C25FDC">
              <w:rPr>
                <w:rFonts w:ascii="Arial" w:hAnsi="Arial" w:cs="Arial" w:hint="cs"/>
                <w:b/>
                <w:bCs/>
                <w:color w:val="000000"/>
                <w:rtl/>
              </w:rPr>
              <w:t xml:space="preserve">تطبيقية </w:t>
            </w:r>
            <w:r w:rsidRPr="00C25FDC">
              <w:rPr>
                <w:rFonts w:ascii="Arial" w:hAnsi="Arial" w:cs="Arial"/>
                <w:b/>
                <w:bCs/>
                <w:color w:val="000000"/>
                <w:rtl/>
              </w:rPr>
              <w:t>(</w:t>
            </w:r>
            <w:r w:rsidRPr="00C25FDC">
              <w:rPr>
                <w:rFonts w:ascii="Arial" w:hAnsi="Arial" w:cs="Arial"/>
                <w:b/>
                <w:bCs/>
                <w:color w:val="000000"/>
                <w:rtl/>
              </w:rPr>
              <w:t xml:space="preserve">45 </w:t>
            </w:r>
            <w:r w:rsidRPr="00C25FDC">
              <w:rPr>
                <w:rFonts w:ascii="Arial" w:hAnsi="Arial" w:cs="Arial" w:hint="cs"/>
                <w:b/>
                <w:bCs/>
                <w:color w:val="000000"/>
                <w:rtl/>
              </w:rPr>
              <w:t>دقيقة)؛</w:t>
            </w:r>
          </w:p>
          <w:p w:rsidR="00EE35FA" w:rsidRPr="00C25FDC" w:rsidRDefault="00C25FDC" w:rsidP="00C25FDC">
            <w:pPr>
              <w:pStyle w:val="Paragraphedeliste"/>
              <w:numPr>
                <w:ilvl w:val="0"/>
                <w:numId w:val="16"/>
              </w:numPr>
              <w:spacing w:line="360" w:lineRule="auto"/>
              <w:rPr>
                <w:rFonts w:ascii="Candara" w:hAnsi="Candara"/>
                <w:b/>
                <w:bCs/>
                <w:lang w:bidi="ar-MA"/>
              </w:rPr>
            </w:pPr>
            <w:r>
              <w:rPr>
                <w:rFonts w:ascii="Arial" w:hAnsi="Arial" w:cs="Arial" w:hint="cs"/>
                <w:b/>
                <w:bCs/>
                <w:color w:val="000000"/>
                <w:rtl/>
              </w:rPr>
              <w:t>مناقشة</w:t>
            </w: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567F6F" w:rsidP="00567F6F">
            <w:pPr>
              <w:pStyle w:val="Corpsdetexte"/>
              <w:numPr>
                <w:ilvl w:val="0"/>
                <w:numId w:val="3"/>
              </w:numPr>
              <w:bidi/>
              <w:rPr>
                <w:rFonts w:ascii="Candara" w:hAnsi="Candara"/>
                <w:b/>
                <w:bCs w:val="0"/>
              </w:rPr>
            </w:pPr>
            <w:r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42109D" w:rsidP="0042109D">
            <w:pPr>
              <w:pStyle w:val="Corpsdetexte"/>
              <w:bidi/>
              <w:ind w:left="360"/>
              <w:rPr>
                <w:rFonts w:ascii="Candara" w:hAnsi="Candara"/>
                <w:b/>
                <w:bCs w:val="0"/>
                <w:sz w:val="22"/>
                <w:szCs w:val="22"/>
              </w:rPr>
            </w:pPr>
            <w:r>
              <w:rPr>
                <w:rFonts w:ascii="Wingdings" w:hAnsi="Wingdings"/>
                <w:bCs w:val="0"/>
                <w:sz w:val="22"/>
                <w:szCs w:val="22"/>
                <w:highlight w:val="lightGray"/>
              </w:rPr>
              <w:sym w:font="Wingdings" w:char="F078"/>
            </w:r>
            <w:r w:rsidR="00567F6F" w:rsidRPr="007A778E">
              <w:rPr>
                <w:rFonts w:ascii="Candara" w:hAnsi="Candara" w:cs="AL-Mohanad Bold" w:hint="cs"/>
                <w:b/>
                <w:caps/>
                <w:sz w:val="28"/>
                <w:szCs w:val="28"/>
                <w:rtl/>
              </w:rPr>
              <w:t>تقييم مستمر</w:t>
            </w:r>
          </w:p>
          <w:p w:rsidR="0042109D" w:rsidRPr="0042109D" w:rsidRDefault="0042109D" w:rsidP="0042109D">
            <w:pPr>
              <w:pStyle w:val="Corpsdetexte"/>
              <w:numPr>
                <w:ilvl w:val="2"/>
                <w:numId w:val="15"/>
              </w:numPr>
              <w:bidi/>
              <w:ind w:left="486"/>
              <w:jc w:val="left"/>
              <w:rPr>
                <w:rFonts w:ascii="HacenTunisiaLtRegular" w:hAnsi="HacenTunisiaLtRegular"/>
                <w:b/>
                <w:color w:val="000000" w:themeColor="text1"/>
                <w:shd w:val="clear" w:color="auto" w:fill="FFFFFF"/>
                <w:rtl/>
                <w:lang w:eastAsia="ar-SA"/>
              </w:rPr>
            </w:pPr>
            <w:r w:rsidRPr="0042109D">
              <w:rPr>
                <w:rFonts w:ascii="HacenTunisiaLtRegular" w:hAnsi="HacenTunisiaLtRegular"/>
                <w:b/>
                <w:color w:val="000000" w:themeColor="text1"/>
                <w:shd w:val="clear" w:color="auto" w:fill="FFFFFF"/>
                <w:rtl/>
                <w:lang w:eastAsia="ar-SA"/>
              </w:rPr>
              <w:t>العرض النقدي لعمل بحثي تم اختياره من المراجع (50</w:t>
            </w:r>
            <w:r w:rsidRPr="0042109D">
              <w:rPr>
                <w:rFonts w:ascii="HacenTunisiaLtRegular" w:hAnsi="HacenTunisiaLtRegular" w:hint="cs"/>
                <w:b/>
                <w:color w:val="000000" w:themeColor="text1"/>
                <w:shd w:val="clear" w:color="auto" w:fill="FFFFFF"/>
                <w:rtl/>
                <w:lang w:eastAsia="ar-SA"/>
              </w:rPr>
              <w:t>٪</w:t>
            </w:r>
            <w:r w:rsidRPr="0042109D">
              <w:rPr>
                <w:rFonts w:ascii="HacenTunisiaLtRegular" w:hAnsi="HacenTunisiaLtRegular"/>
                <w:b/>
                <w:color w:val="000000" w:themeColor="text1"/>
                <w:shd w:val="clear" w:color="auto" w:fill="FFFFFF"/>
                <w:rtl/>
                <w:lang w:eastAsia="ar-SA"/>
              </w:rPr>
              <w:t>)</w:t>
            </w:r>
            <w:r w:rsidRPr="0042109D">
              <w:rPr>
                <w:rFonts w:ascii="HacenTunisiaLtRegular" w:hAnsi="HacenTunisiaLtRegular" w:hint="cs"/>
                <w:b/>
                <w:color w:val="000000" w:themeColor="text1"/>
                <w:shd w:val="clear" w:color="auto" w:fill="FFFFFF"/>
                <w:rtl/>
                <w:lang w:eastAsia="ar-SA"/>
              </w:rPr>
              <w:t>؛</w:t>
            </w:r>
          </w:p>
          <w:p w:rsidR="0042109D" w:rsidRPr="0042109D" w:rsidRDefault="0042109D" w:rsidP="0042109D">
            <w:pPr>
              <w:pStyle w:val="Corpsdetexte"/>
              <w:numPr>
                <w:ilvl w:val="2"/>
                <w:numId w:val="15"/>
              </w:numPr>
              <w:bidi/>
              <w:ind w:left="486"/>
              <w:jc w:val="left"/>
              <w:rPr>
                <w:rFonts w:ascii="HacenTunisiaLtRegular" w:hAnsi="HacenTunisiaLtRegular"/>
                <w:b/>
                <w:color w:val="000000" w:themeColor="text1"/>
                <w:shd w:val="clear" w:color="auto" w:fill="FFFFFF"/>
                <w:rtl/>
                <w:lang w:eastAsia="ar-SA"/>
              </w:rPr>
            </w:pPr>
            <w:r w:rsidRPr="0042109D">
              <w:rPr>
                <w:rFonts w:ascii="HacenTunisiaLtRegular" w:hAnsi="HacenTunisiaLtRegular"/>
                <w:b/>
                <w:color w:val="000000" w:themeColor="text1"/>
                <w:shd w:val="clear" w:color="auto" w:fill="FFFFFF"/>
                <w:rtl/>
                <w:lang w:eastAsia="ar-SA"/>
              </w:rPr>
              <w:t>اختبار كتابي في زمن محدد(</w:t>
            </w:r>
            <w:r w:rsidRPr="0042109D">
              <w:rPr>
                <w:rFonts w:ascii="HacenTunisiaLtRegular" w:hAnsi="HacenTunisiaLtRegular" w:hint="cs"/>
                <w:b/>
                <w:color w:val="000000" w:themeColor="text1"/>
                <w:shd w:val="clear" w:color="auto" w:fill="FFFFFF"/>
                <w:rtl/>
                <w:lang w:eastAsia="ar-SA"/>
              </w:rPr>
              <w:t>ساعتان</w:t>
            </w:r>
            <w:r w:rsidRPr="0042109D">
              <w:rPr>
                <w:rFonts w:ascii="HacenTunisiaLtRegular" w:hAnsi="HacenTunisiaLtRegular"/>
                <w:b/>
                <w:color w:val="000000" w:themeColor="text1"/>
                <w:shd w:val="clear" w:color="auto" w:fill="FFFFFF"/>
                <w:rtl/>
                <w:lang w:eastAsia="ar-SA"/>
              </w:rPr>
              <w:t>) سيتعلق الأمر بالأسئلة التي تم تناولها في النصوص الواردة في القراءة (50</w:t>
            </w:r>
            <w:r w:rsidRPr="0042109D">
              <w:rPr>
                <w:rFonts w:ascii="HacenTunisiaLtRegular" w:hAnsi="HacenTunisiaLtRegular" w:hint="cs"/>
                <w:b/>
                <w:color w:val="000000" w:themeColor="text1"/>
                <w:shd w:val="clear" w:color="auto" w:fill="FFFFFF"/>
                <w:rtl/>
                <w:lang w:eastAsia="ar-SA"/>
              </w:rPr>
              <w:t>٪</w:t>
            </w:r>
            <w:r w:rsidRPr="0042109D">
              <w:rPr>
                <w:rFonts w:ascii="HacenTunisiaLtRegular" w:hAnsi="HacenTunisiaLtRegular"/>
                <w:b/>
                <w:color w:val="000000" w:themeColor="text1"/>
                <w:shd w:val="clear" w:color="auto" w:fill="FFFFFF"/>
                <w:rtl/>
                <w:lang w:eastAsia="ar-SA"/>
              </w:rPr>
              <w:t>)</w:t>
            </w:r>
            <w:r w:rsidRPr="0042109D">
              <w:rPr>
                <w:rFonts w:ascii="HacenTunisiaLtRegular" w:hAnsi="HacenTunisiaLtRegular" w:hint="cs"/>
                <w:b/>
                <w:color w:val="000000" w:themeColor="text1"/>
                <w:shd w:val="clear" w:color="auto" w:fill="FFFFFF"/>
                <w:rtl/>
                <w:lang w:eastAsia="ar-SA"/>
              </w:rPr>
              <w:t>؛</w:t>
            </w:r>
          </w:p>
          <w:p w:rsidR="00EE35FA" w:rsidRPr="0042109D" w:rsidRDefault="0042109D" w:rsidP="0042109D">
            <w:pPr>
              <w:pStyle w:val="Corpsdetexte"/>
              <w:numPr>
                <w:ilvl w:val="2"/>
                <w:numId w:val="15"/>
              </w:numPr>
              <w:bidi/>
              <w:ind w:left="486"/>
              <w:jc w:val="left"/>
              <w:rPr>
                <w:rFonts w:ascii="HacenTunisiaLtRegular" w:hAnsi="HacenTunisiaLtRegular"/>
                <w:b/>
                <w:color w:val="000000" w:themeColor="text1"/>
                <w:shd w:val="clear" w:color="auto" w:fill="FFFFFF"/>
                <w:rtl/>
                <w:lang w:eastAsia="ar-SA"/>
              </w:rPr>
            </w:pPr>
            <w:r w:rsidRPr="0042109D">
              <w:rPr>
                <w:rFonts w:ascii="HacenTunisiaLtRegular" w:hAnsi="HacenTunisiaLtRegular" w:hint="cs"/>
                <w:b/>
                <w:color w:val="000000" w:themeColor="text1"/>
                <w:shd w:val="clear" w:color="auto" w:fill="FFFFFF"/>
                <w:rtl/>
                <w:lang w:eastAsia="ar-SA"/>
              </w:rPr>
              <w:t xml:space="preserve"> </w:t>
            </w:r>
            <w:r w:rsidRPr="0042109D">
              <w:rPr>
                <w:rFonts w:ascii="HacenTunisiaLtRegular" w:hAnsi="HacenTunisiaLtRegular"/>
                <w:b/>
                <w:color w:val="000000" w:themeColor="text1"/>
                <w:shd w:val="clear" w:color="auto" w:fill="FFFFFF"/>
                <w:rtl/>
                <w:lang w:eastAsia="ar-SA"/>
              </w:rPr>
              <w:t>احتساب المشاركة في المناقشة والتفكير الجماعي والتمارين العملية.</w:t>
            </w: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42109D">
        <w:trPr>
          <w:trHeight w:val="9902"/>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rPr>
            </w:pPr>
            <w:r w:rsidRPr="00093F83">
              <w:rPr>
                <w:rFonts w:asciiTheme="majorBidi" w:hAnsiTheme="majorBidi" w:cstheme="majorBidi"/>
              </w:rPr>
              <w:t xml:space="preserve">Habermas : </w:t>
            </w:r>
            <w:r w:rsidRPr="00093F83">
              <w:rPr>
                <w:rFonts w:asciiTheme="majorBidi" w:hAnsiTheme="majorBidi" w:cstheme="majorBidi"/>
                <w:i/>
                <w:iCs/>
              </w:rPr>
              <w:t>La technique et la science comme « idéologie »</w:t>
            </w:r>
            <w:r w:rsidRPr="00093F83">
              <w:rPr>
                <w:rFonts w:asciiTheme="majorBidi" w:hAnsiTheme="majorBidi" w:cstheme="majorBidi"/>
              </w:rPr>
              <w:t>, trad. par Jean-René́ Ladmiral, Paris, « Tel » Gallimard, 1973.</w:t>
            </w:r>
          </w:p>
          <w:p w:rsidR="00093F83" w:rsidRPr="00093F83" w:rsidRDefault="00093F83" w:rsidP="00093F83">
            <w:pPr>
              <w:pStyle w:val="Paragraphedeliste"/>
              <w:numPr>
                <w:ilvl w:val="0"/>
                <w:numId w:val="14"/>
              </w:numPr>
              <w:bidi w:val="0"/>
              <w:spacing w:line="360" w:lineRule="auto"/>
              <w:jc w:val="both"/>
              <w:rPr>
                <w:rFonts w:ascii="Simplified Arabic" w:hAnsi="Simplified Arabic" w:cs="Simplified Arabic"/>
                <w:color w:val="000000"/>
                <w:sz w:val="18"/>
                <w:szCs w:val="18"/>
              </w:rPr>
            </w:pPr>
            <w:r w:rsidRPr="00093F83">
              <w:rPr>
                <w:rFonts w:ascii="Simplified Arabic" w:hAnsi="Simplified Arabic" w:cs="Simplified Arabic" w:hint="cs"/>
                <w:color w:val="000000"/>
                <w:sz w:val="18"/>
                <w:szCs w:val="18"/>
              </w:rPr>
              <w:t>L. Ferry, Pour l'esquisse d'une bioéthique humaniste</w:t>
            </w:r>
            <w:r w:rsidRPr="00093F83">
              <w:rPr>
                <w:rFonts w:ascii="Simplified Arabic" w:hAnsi="Simplified Arabic" w:cs="Simplified Arabic"/>
                <w:color w:val="000000"/>
                <w:sz w:val="18"/>
                <w:szCs w:val="18"/>
              </w:rPr>
              <w:t>.</w:t>
            </w:r>
          </w:p>
          <w:p w:rsidR="00093F83" w:rsidRPr="00212393" w:rsidRDefault="00093F83" w:rsidP="00093F83">
            <w:pPr>
              <w:pStyle w:val="Titre1"/>
              <w:numPr>
                <w:ilvl w:val="0"/>
                <w:numId w:val="14"/>
              </w:numPr>
              <w:spacing w:before="0" w:beforeAutospacing="0" w:line="360" w:lineRule="auto"/>
              <w:jc w:val="both"/>
              <w:rPr>
                <w:rFonts w:asciiTheme="majorBidi" w:hAnsiTheme="majorBidi" w:cstheme="majorBidi"/>
                <w:b w:val="0"/>
                <w:bCs w:val="0"/>
                <w:color w:val="111111"/>
                <w:sz w:val="24"/>
                <w:szCs w:val="24"/>
              </w:rPr>
            </w:pPr>
            <w:r w:rsidRPr="00FD2E32">
              <w:rPr>
                <w:rFonts w:asciiTheme="majorBidi" w:hAnsiTheme="majorBidi" w:cstheme="majorBidi"/>
                <w:b w:val="0"/>
                <w:bCs w:val="0"/>
                <w:color w:val="222222"/>
                <w:sz w:val="24"/>
                <w:szCs w:val="24"/>
                <w:shd w:val="clear" w:color="auto" w:fill="FFFFFF"/>
              </w:rPr>
              <w:t>Peter Sloterdijk</w:t>
            </w:r>
            <w:r w:rsidRPr="00FD2E32">
              <w:rPr>
                <w:rStyle w:val="a-size-large"/>
                <w:rFonts w:asciiTheme="majorBidi" w:hAnsiTheme="majorBidi" w:cstheme="majorBidi"/>
                <w:b w:val="0"/>
                <w:bCs w:val="0"/>
                <w:color w:val="111111"/>
                <w:sz w:val="24"/>
                <w:szCs w:val="24"/>
              </w:rPr>
              <w:t>, Après nous le déluge : Les Temps modernes comme expérience antigénéalogique</w:t>
            </w:r>
            <w:r>
              <w:rPr>
                <w:rStyle w:val="a-size-large"/>
                <w:rFonts w:asciiTheme="majorBidi" w:hAnsiTheme="majorBidi" w:cstheme="majorBidi"/>
                <w:b w:val="0"/>
                <w:bCs w:val="0"/>
                <w:color w:val="111111"/>
                <w:sz w:val="24"/>
                <w:szCs w:val="24"/>
              </w:rPr>
              <w:t>,2016.</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rPr>
            </w:pPr>
            <w:r w:rsidRPr="00093F83">
              <w:rPr>
                <w:rFonts w:asciiTheme="majorBidi" w:hAnsiTheme="majorBidi" w:cstheme="majorBidi"/>
                <w:color w:val="000000"/>
              </w:rPr>
              <w:t>Pierre Simon,</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De la vie avant toute chose</w:t>
            </w:r>
            <w:r w:rsidRPr="00093F83">
              <w:rPr>
                <w:rFonts w:asciiTheme="majorBidi" w:hAnsiTheme="majorBidi" w:cstheme="majorBidi"/>
                <w:color w:val="000000"/>
              </w:rPr>
              <w:t>, Paris, Mazarine, 1979.</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lang w:val="en-US"/>
              </w:rPr>
            </w:pPr>
            <w:r w:rsidRPr="00093F83">
              <w:rPr>
                <w:rFonts w:asciiTheme="majorBidi" w:hAnsiTheme="majorBidi" w:cstheme="majorBidi"/>
                <w:color w:val="000000"/>
                <w:lang w:val="en-GB"/>
              </w:rPr>
              <w:t>Paul Ramsey,</w:t>
            </w:r>
            <w:r w:rsidRPr="00093F83">
              <w:rPr>
                <w:rStyle w:val="apple-converted-space"/>
                <w:rFonts w:asciiTheme="majorBidi" w:hAnsiTheme="majorBidi" w:cstheme="majorBidi"/>
                <w:color w:val="000000"/>
                <w:lang w:val="en-GB"/>
              </w:rPr>
              <w:t> </w:t>
            </w:r>
            <w:r w:rsidRPr="00093F83">
              <w:rPr>
                <w:rFonts w:asciiTheme="majorBidi" w:hAnsiTheme="majorBidi" w:cstheme="majorBidi"/>
                <w:i/>
                <w:iCs/>
                <w:color w:val="000000"/>
                <w:lang w:val="en-GB"/>
              </w:rPr>
              <w:t>The Patient as Person. Explorations in Medical Ethics</w:t>
            </w:r>
            <w:r w:rsidRPr="00093F83">
              <w:rPr>
                <w:rFonts w:asciiTheme="majorBidi" w:hAnsiTheme="majorBidi" w:cstheme="majorBidi"/>
                <w:color w:val="000000"/>
                <w:lang w:val="en-GB"/>
              </w:rPr>
              <w:t xml:space="preserve">, New Haven, Yale University Press, </w:t>
            </w:r>
            <w:proofErr w:type="gramStart"/>
            <w:r w:rsidRPr="00093F83">
              <w:rPr>
                <w:rFonts w:asciiTheme="majorBidi" w:hAnsiTheme="majorBidi" w:cstheme="majorBidi"/>
                <w:color w:val="000000"/>
                <w:lang w:val="en-GB"/>
              </w:rPr>
              <w:t>1970 ;</w:t>
            </w:r>
            <w:proofErr w:type="gramEnd"/>
            <w:r w:rsidRPr="00093F83">
              <w:rPr>
                <w:rFonts w:asciiTheme="majorBidi" w:hAnsiTheme="majorBidi" w:cstheme="majorBidi"/>
                <w:color w:val="000000"/>
                <w:lang w:val="en-GB"/>
              </w:rPr>
              <w:t xml:space="preserve"> </w:t>
            </w:r>
            <w:proofErr w:type="spellStart"/>
            <w:r w:rsidRPr="00093F83">
              <w:rPr>
                <w:rFonts w:asciiTheme="majorBidi" w:hAnsiTheme="majorBidi" w:cstheme="majorBidi"/>
                <w:color w:val="000000"/>
                <w:lang w:val="en-GB"/>
              </w:rPr>
              <w:t>même</w:t>
            </w:r>
            <w:proofErr w:type="spellEnd"/>
            <w:r w:rsidRPr="00093F83">
              <w:rPr>
                <w:rFonts w:asciiTheme="majorBidi" w:hAnsiTheme="majorBidi" w:cstheme="majorBidi"/>
                <w:color w:val="000000"/>
                <w:lang w:val="en-GB"/>
              </w:rPr>
              <w:t xml:space="preserve"> auteur,</w:t>
            </w:r>
            <w:r w:rsidRPr="00093F83">
              <w:rPr>
                <w:rStyle w:val="apple-converted-space"/>
                <w:rFonts w:asciiTheme="majorBidi" w:hAnsiTheme="majorBidi" w:cstheme="majorBidi"/>
                <w:color w:val="000000"/>
                <w:lang w:val="en-GB"/>
              </w:rPr>
              <w:t> </w:t>
            </w:r>
            <w:r w:rsidRPr="00093F83">
              <w:rPr>
                <w:rFonts w:asciiTheme="majorBidi" w:hAnsiTheme="majorBidi" w:cstheme="majorBidi"/>
                <w:i/>
                <w:iCs/>
                <w:color w:val="000000"/>
                <w:lang w:val="en-GB"/>
              </w:rPr>
              <w:t>Fabricated Man. The Ethics of Genetic Control</w:t>
            </w:r>
            <w:r w:rsidRPr="00093F83">
              <w:rPr>
                <w:rFonts w:asciiTheme="majorBidi" w:hAnsiTheme="majorBidi" w:cstheme="majorBidi"/>
                <w:color w:val="000000"/>
                <w:lang w:val="en-GB"/>
              </w:rPr>
              <w:t>, New Haven, Yale University Press, 1970.</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Jean-Paul Thomas,</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Misère de la bioéthique</w:t>
            </w:r>
            <w:r w:rsidRPr="00093F83">
              <w:rPr>
                <w:rFonts w:asciiTheme="majorBidi" w:hAnsiTheme="majorBidi" w:cstheme="majorBidi"/>
                <w:color w:val="000000"/>
              </w:rPr>
              <w:t>, Paris, Albin Michel, 1990.</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 xml:space="preserve">Gilbert </w:t>
            </w:r>
            <w:proofErr w:type="spellStart"/>
            <w:r w:rsidRPr="00093F83">
              <w:rPr>
                <w:rFonts w:asciiTheme="majorBidi" w:hAnsiTheme="majorBidi" w:cstheme="majorBidi"/>
                <w:color w:val="000000"/>
              </w:rPr>
              <w:t>Hottois</w:t>
            </w:r>
            <w:proofErr w:type="spellEnd"/>
            <w:r w:rsidRPr="00093F83">
              <w:rPr>
                <w:rFonts w:asciiTheme="majorBidi" w:hAnsiTheme="majorBidi" w:cstheme="majorBidi"/>
                <w:color w:val="000000"/>
              </w:rPr>
              <w:t xml:space="preserve">, "Liberté, humanisme, évolution", in G. </w:t>
            </w:r>
            <w:proofErr w:type="spellStart"/>
            <w:r w:rsidRPr="00093F83">
              <w:rPr>
                <w:rFonts w:asciiTheme="majorBidi" w:hAnsiTheme="majorBidi" w:cstheme="majorBidi"/>
                <w:color w:val="000000"/>
              </w:rPr>
              <w:t>Hottois</w:t>
            </w:r>
            <w:proofErr w:type="spellEnd"/>
            <w:r w:rsidRPr="00093F83">
              <w:rPr>
                <w:rFonts w:asciiTheme="majorBidi" w:hAnsiTheme="majorBidi" w:cstheme="majorBidi"/>
                <w:color w:val="000000"/>
              </w:rPr>
              <w:t xml:space="preserve"> (éd.),</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Evaluer la technique. Aspects éthiques de la philosophie de la technique</w:t>
            </w:r>
            <w:r w:rsidRPr="00093F83">
              <w:rPr>
                <w:rFonts w:asciiTheme="majorBidi" w:hAnsiTheme="majorBidi" w:cstheme="majorBidi"/>
                <w:color w:val="000000"/>
              </w:rPr>
              <w:t xml:space="preserve">, Paris, </w:t>
            </w:r>
            <w:proofErr w:type="spellStart"/>
            <w:r w:rsidRPr="00093F83">
              <w:rPr>
                <w:rFonts w:asciiTheme="majorBidi" w:hAnsiTheme="majorBidi" w:cstheme="majorBidi"/>
                <w:color w:val="000000"/>
              </w:rPr>
              <w:t>Vrin</w:t>
            </w:r>
            <w:proofErr w:type="spellEnd"/>
            <w:r w:rsidRPr="00093F83">
              <w:rPr>
                <w:rFonts w:asciiTheme="majorBidi" w:hAnsiTheme="majorBidi" w:cstheme="majorBidi"/>
                <w:color w:val="000000"/>
              </w:rPr>
              <w:t>, 1988.</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 xml:space="preserve">G. </w:t>
            </w:r>
            <w:proofErr w:type="spellStart"/>
            <w:r w:rsidRPr="00093F83">
              <w:rPr>
                <w:rFonts w:asciiTheme="majorBidi" w:hAnsiTheme="majorBidi" w:cstheme="majorBidi"/>
                <w:color w:val="000000"/>
              </w:rPr>
              <w:t>Hottois</w:t>
            </w:r>
            <w:proofErr w:type="spellEnd"/>
            <w:r w:rsidRPr="00093F83">
              <w:rPr>
                <w:rFonts w:asciiTheme="majorBidi" w:hAnsiTheme="majorBidi" w:cstheme="majorBidi"/>
                <w:color w:val="000000"/>
              </w:rPr>
              <w:t>,</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Le Signe et la technique. La philosophie à l'épreuve de la technique</w:t>
            </w:r>
            <w:r w:rsidRPr="00093F83">
              <w:rPr>
                <w:rFonts w:asciiTheme="majorBidi" w:hAnsiTheme="majorBidi" w:cstheme="majorBidi"/>
                <w:color w:val="000000"/>
              </w:rPr>
              <w:t xml:space="preserve">, Paris, Aubier, 1984, </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 xml:space="preserve">G. </w:t>
            </w:r>
            <w:proofErr w:type="spellStart"/>
            <w:r w:rsidRPr="00093F83">
              <w:rPr>
                <w:rFonts w:asciiTheme="majorBidi" w:hAnsiTheme="majorBidi" w:cstheme="majorBidi"/>
                <w:color w:val="000000"/>
              </w:rPr>
              <w:t>Hottois</w:t>
            </w:r>
            <w:proofErr w:type="spellEnd"/>
            <w:r w:rsidRPr="00093F83">
              <w:rPr>
                <w:rFonts w:asciiTheme="majorBidi" w:hAnsiTheme="majorBidi" w:cstheme="majorBidi"/>
                <w:color w:val="000000"/>
              </w:rPr>
              <w:t xml:space="preserve">, "Esquisse philosophique d'un critère", </w:t>
            </w:r>
            <w:r w:rsidRPr="00093F83">
              <w:rPr>
                <w:rFonts w:asciiTheme="majorBidi" w:hAnsiTheme="majorBidi" w:cstheme="majorBidi"/>
                <w:i/>
                <w:iCs/>
                <w:color w:val="000000"/>
              </w:rPr>
              <w:t>La Responsabilité éthique face au développement biomédical</w:t>
            </w:r>
            <w:r w:rsidRPr="00093F83">
              <w:rPr>
                <w:rFonts w:asciiTheme="majorBidi" w:hAnsiTheme="majorBidi" w:cstheme="majorBidi"/>
                <w:color w:val="000000"/>
              </w:rPr>
              <w:t>, Louvain-la-Neuve, CIACO, 1987.</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Raymond Ruyer,</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L'Utopie et les utopies</w:t>
            </w:r>
            <w:r w:rsidRPr="00093F83">
              <w:rPr>
                <w:rFonts w:asciiTheme="majorBidi" w:hAnsiTheme="majorBidi" w:cstheme="majorBidi"/>
                <w:color w:val="000000"/>
              </w:rPr>
              <w:t>, Paris, PUF, 1950.</w:t>
            </w:r>
            <w:r w:rsidRPr="00093F83">
              <w:rPr>
                <w:rStyle w:val="apple-converted-space"/>
                <w:rFonts w:asciiTheme="majorBidi" w:hAnsiTheme="majorBidi" w:cstheme="majorBidi"/>
                <w:color w:val="000000"/>
              </w:rPr>
              <w:t> </w:t>
            </w:r>
          </w:p>
          <w:p w:rsidR="00093F83" w:rsidRPr="000E3AB9" w:rsidRDefault="00093F83" w:rsidP="000E3AB9">
            <w:pPr>
              <w:pStyle w:val="Paragraphedeliste"/>
              <w:numPr>
                <w:ilvl w:val="0"/>
                <w:numId w:val="14"/>
              </w:numPr>
              <w:bidi w:val="0"/>
              <w:spacing w:line="360" w:lineRule="auto"/>
              <w:jc w:val="both"/>
              <w:rPr>
                <w:rFonts w:asciiTheme="majorBidi" w:hAnsiTheme="majorBidi" w:cstheme="majorBidi"/>
                <w:color w:val="000000"/>
              </w:rPr>
            </w:pPr>
            <w:r w:rsidRPr="000E3AB9">
              <w:rPr>
                <w:rFonts w:asciiTheme="majorBidi" w:hAnsiTheme="majorBidi" w:cstheme="majorBidi"/>
                <w:color w:val="000000"/>
              </w:rPr>
              <w:t>Francis Bacon,</w:t>
            </w:r>
            <w:r w:rsidRPr="000E3AB9">
              <w:rPr>
                <w:rStyle w:val="apple-converted-space"/>
                <w:rFonts w:asciiTheme="majorBidi" w:hAnsiTheme="majorBidi" w:cstheme="majorBidi"/>
                <w:color w:val="000000"/>
              </w:rPr>
              <w:t> </w:t>
            </w:r>
            <w:r w:rsidRPr="000E3AB9">
              <w:rPr>
                <w:rFonts w:asciiTheme="majorBidi" w:hAnsiTheme="majorBidi" w:cstheme="majorBidi"/>
                <w:i/>
                <w:iCs/>
                <w:color w:val="000000"/>
              </w:rPr>
              <w:t>La Nouvelle Atlantide</w:t>
            </w:r>
            <w:r w:rsidRPr="000E3AB9">
              <w:rPr>
                <w:rStyle w:val="apple-converted-space"/>
                <w:rFonts w:asciiTheme="majorBidi" w:hAnsiTheme="majorBidi" w:cstheme="majorBidi"/>
                <w:color w:val="000000"/>
              </w:rPr>
              <w:t> </w:t>
            </w:r>
            <w:r w:rsidRPr="000E3AB9">
              <w:rPr>
                <w:rFonts w:asciiTheme="majorBidi" w:hAnsiTheme="majorBidi" w:cstheme="majorBidi"/>
                <w:color w:val="000000"/>
              </w:rPr>
              <w:t>1627, in F. Bacon,</w:t>
            </w:r>
            <w:r w:rsidRPr="000E3AB9">
              <w:rPr>
                <w:rStyle w:val="apple-converted-space"/>
                <w:rFonts w:asciiTheme="majorBidi" w:hAnsiTheme="majorBidi" w:cstheme="majorBidi"/>
                <w:color w:val="000000"/>
              </w:rPr>
              <w:t> </w:t>
            </w:r>
            <w:proofErr w:type="spellStart"/>
            <w:r w:rsidRPr="000E3AB9">
              <w:rPr>
                <w:rFonts w:asciiTheme="majorBidi" w:hAnsiTheme="majorBidi" w:cstheme="majorBidi"/>
                <w:i/>
                <w:iCs/>
                <w:color w:val="000000"/>
              </w:rPr>
              <w:t>Oeuvres</w:t>
            </w:r>
            <w:proofErr w:type="spellEnd"/>
            <w:r w:rsidRPr="000E3AB9">
              <w:rPr>
                <w:rFonts w:asciiTheme="majorBidi" w:hAnsiTheme="majorBidi" w:cstheme="majorBidi"/>
                <w:i/>
                <w:iCs/>
                <w:color w:val="000000"/>
              </w:rPr>
              <w:t xml:space="preserve"> philosophiques, morales et politiques</w:t>
            </w:r>
            <w:r w:rsidRPr="000E3AB9">
              <w:rPr>
                <w:rFonts w:asciiTheme="majorBidi" w:hAnsiTheme="majorBidi" w:cstheme="majorBidi"/>
                <w:color w:val="000000"/>
              </w:rPr>
              <w:t xml:space="preserve">, tr. </w:t>
            </w:r>
            <w:proofErr w:type="spellStart"/>
            <w:r w:rsidRPr="000E3AB9">
              <w:rPr>
                <w:rFonts w:asciiTheme="majorBidi" w:hAnsiTheme="majorBidi" w:cstheme="majorBidi"/>
                <w:color w:val="000000"/>
              </w:rPr>
              <w:t>fr.</w:t>
            </w:r>
            <w:proofErr w:type="spellEnd"/>
            <w:r w:rsidRPr="000E3AB9">
              <w:rPr>
                <w:rFonts w:asciiTheme="majorBidi" w:hAnsiTheme="majorBidi" w:cstheme="majorBidi"/>
                <w:color w:val="000000"/>
              </w:rPr>
              <w:t xml:space="preserve"> Lasalle et J.A.C. </w:t>
            </w:r>
            <w:proofErr w:type="spellStart"/>
            <w:r w:rsidRPr="000E3AB9">
              <w:rPr>
                <w:rFonts w:asciiTheme="majorBidi" w:hAnsiTheme="majorBidi" w:cstheme="majorBidi"/>
                <w:color w:val="000000"/>
              </w:rPr>
              <w:t>Buchon</w:t>
            </w:r>
            <w:proofErr w:type="spellEnd"/>
            <w:r w:rsidRPr="000E3AB9">
              <w:rPr>
                <w:rFonts w:asciiTheme="majorBidi" w:hAnsiTheme="majorBidi" w:cstheme="majorBidi"/>
                <w:color w:val="000000"/>
              </w:rPr>
              <w:t>, Paris, 1836.</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tl/>
              </w:rPr>
            </w:pPr>
            <w:r w:rsidRPr="00093F83">
              <w:rPr>
                <w:rFonts w:asciiTheme="majorBidi" w:hAnsiTheme="majorBidi" w:cstheme="majorBidi"/>
                <w:color w:val="000000"/>
              </w:rPr>
              <w:t xml:space="preserve">Charles </w:t>
            </w:r>
            <w:proofErr w:type="spellStart"/>
            <w:r w:rsidRPr="00093F83">
              <w:rPr>
                <w:rFonts w:asciiTheme="majorBidi" w:hAnsiTheme="majorBidi" w:cstheme="majorBidi"/>
                <w:color w:val="000000"/>
              </w:rPr>
              <w:t>Larmore</w:t>
            </w:r>
            <w:proofErr w:type="spellEnd"/>
            <w:r w:rsidRPr="00093F83">
              <w:rPr>
                <w:rFonts w:asciiTheme="majorBidi" w:hAnsiTheme="majorBidi" w:cstheme="majorBidi"/>
                <w:color w:val="000000"/>
              </w:rPr>
              <w:t>,</w:t>
            </w:r>
            <w:r w:rsidRPr="00093F83">
              <w:rPr>
                <w:rStyle w:val="apple-converted-space"/>
                <w:rFonts w:asciiTheme="majorBidi" w:hAnsiTheme="majorBidi" w:cstheme="majorBidi"/>
                <w:color w:val="000000"/>
              </w:rPr>
              <w:t> </w:t>
            </w:r>
            <w:r w:rsidRPr="00093F83">
              <w:rPr>
                <w:rFonts w:asciiTheme="majorBidi" w:hAnsiTheme="majorBidi" w:cstheme="majorBidi"/>
                <w:i/>
                <w:iCs/>
                <w:color w:val="000000"/>
              </w:rPr>
              <w:t>Modernité et morale</w:t>
            </w:r>
            <w:r w:rsidRPr="00093F83">
              <w:rPr>
                <w:rFonts w:asciiTheme="majorBidi" w:hAnsiTheme="majorBidi" w:cstheme="majorBidi"/>
                <w:color w:val="000000"/>
              </w:rPr>
              <w:t>, Paris, PUF, 1993</w:t>
            </w:r>
          </w:p>
          <w:p w:rsidR="00093F83" w:rsidRPr="00093F83" w:rsidRDefault="00093F83" w:rsidP="00093F83">
            <w:pPr>
              <w:pStyle w:val="Paragraphedeliste"/>
              <w:numPr>
                <w:ilvl w:val="0"/>
                <w:numId w:val="14"/>
              </w:numPr>
              <w:bidi w:val="0"/>
              <w:spacing w:line="360" w:lineRule="auto"/>
              <w:jc w:val="both"/>
              <w:rPr>
                <w:rFonts w:asciiTheme="majorBidi" w:hAnsiTheme="majorBidi" w:cstheme="majorBidi"/>
                <w:color w:val="000000"/>
              </w:rPr>
            </w:pPr>
            <w:r w:rsidRPr="00093F83">
              <w:rPr>
                <w:rFonts w:asciiTheme="majorBidi" w:hAnsiTheme="majorBidi" w:cstheme="majorBidi"/>
                <w:color w:val="000000"/>
              </w:rPr>
              <w:t>Anne Fagot-</w:t>
            </w:r>
            <w:proofErr w:type="spellStart"/>
            <w:r w:rsidRPr="00093F83">
              <w:rPr>
                <w:rFonts w:asciiTheme="majorBidi" w:hAnsiTheme="majorBidi" w:cstheme="majorBidi"/>
                <w:color w:val="000000"/>
              </w:rPr>
              <w:t>Largeault</w:t>
            </w:r>
            <w:proofErr w:type="spellEnd"/>
            <w:r w:rsidRPr="00093F83">
              <w:rPr>
                <w:rFonts w:asciiTheme="majorBidi" w:hAnsiTheme="majorBidi" w:cstheme="majorBidi"/>
                <w:color w:val="000000"/>
              </w:rPr>
              <w:t>, "La réflexion philosophique en bioéthique",1989.</w:t>
            </w:r>
          </w:p>
          <w:p w:rsidR="00EE35FA" w:rsidRDefault="00093F83" w:rsidP="00093F83">
            <w:pPr>
              <w:pStyle w:val="Corpsdetexte"/>
              <w:numPr>
                <w:ilvl w:val="0"/>
                <w:numId w:val="14"/>
              </w:numPr>
              <w:spacing w:line="360" w:lineRule="auto"/>
              <w:rPr>
                <w:rFonts w:ascii="Candara" w:hAnsi="Candara"/>
                <w:sz w:val="20"/>
                <w:szCs w:val="20"/>
                <w:lang w:bidi="ar-MA"/>
              </w:rPr>
            </w:pPr>
            <w:r w:rsidRPr="00127E84">
              <w:rPr>
                <w:rFonts w:asciiTheme="majorBidi" w:hAnsiTheme="majorBidi" w:cstheme="majorBidi"/>
                <w:color w:val="000000"/>
              </w:rPr>
              <w:t>Bernard Williams,</w:t>
            </w:r>
            <w:r w:rsidRPr="00127E84">
              <w:rPr>
                <w:rStyle w:val="apple-converted-space"/>
                <w:rFonts w:asciiTheme="majorBidi" w:hAnsiTheme="majorBidi" w:cstheme="majorBidi"/>
                <w:color w:val="000000"/>
              </w:rPr>
              <w:t> </w:t>
            </w:r>
            <w:r w:rsidRPr="00127E84">
              <w:rPr>
                <w:rFonts w:asciiTheme="majorBidi" w:hAnsiTheme="majorBidi" w:cstheme="majorBidi"/>
                <w:i/>
                <w:iCs/>
                <w:color w:val="000000"/>
              </w:rPr>
              <w:t>L'Ethique et les limites de la philosophie</w:t>
            </w:r>
            <w:r w:rsidRPr="00127E84">
              <w:rPr>
                <w:rStyle w:val="apple-converted-space"/>
                <w:rFonts w:asciiTheme="majorBidi" w:hAnsiTheme="majorBidi" w:cstheme="majorBidi"/>
                <w:color w:val="000000"/>
              </w:rPr>
              <w:t> </w:t>
            </w:r>
            <w:r w:rsidRPr="00127E84">
              <w:rPr>
                <w:rFonts w:asciiTheme="majorBidi" w:hAnsiTheme="majorBidi" w:cstheme="majorBidi"/>
                <w:color w:val="000000"/>
              </w:rPr>
              <w:t>1985.</w:t>
            </w:r>
          </w:p>
          <w:p w:rsidR="00EE35FA" w:rsidRDefault="00EE35FA" w:rsidP="00093F83">
            <w:pPr>
              <w:pStyle w:val="Corpsdetexte"/>
              <w:spacing w:line="360" w:lineRule="auto"/>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kkal Majalla">
    <w:altName w:val="Times New Roman"/>
    <w:charset w:val="00"/>
    <w:family w:val="auto"/>
    <w:pitch w:val="variable"/>
    <w:sig w:usb0="00000000" w:usb1="C000204B" w:usb2="00000008" w:usb3="00000000" w:csb0="000000D3" w:csb1="00000000"/>
  </w:font>
  <w:font w:name="Verdana,Bold">
    <w:panose1 w:val="00000000000000000000"/>
    <w:charset w:val="00"/>
    <w:family w:val="auto"/>
    <w:notTrueType/>
    <w:pitch w:val="default"/>
    <w:sig w:usb0="00000003" w:usb1="00000000" w:usb2="00000000" w:usb3="00000000" w:csb0="00000001" w:csb1="00000000"/>
  </w:font>
  <w:font w:name="HacenTunisiaLtRegular">
    <w:altName w:val="Cambria"/>
    <w:panose1 w:val="00000000000000000000"/>
    <w:charset w:val="00"/>
    <w:family w:val="roman"/>
    <w:notTrueType/>
    <w:pitch w:val="default"/>
  </w:font>
  <w:font w:name="Simplified Arabic">
    <w:altName w:val="Times New Roman"/>
    <w:charset w:val="00"/>
    <w:family w:val="roman"/>
    <w:pitch w:val="variable"/>
    <w:sig w:usb0="00000000" w:usb1="00000000" w:usb2="00000000" w:usb3="00000000" w:csb0="00000041" w:csb1="00000000"/>
  </w:font>
  <w:font w:name="Times New (W1)">
    <w:altName w:val="Times New Roman"/>
    <w:charset w:val="00"/>
    <w:family w:val="auto"/>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817012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AB04568C">
      <w:start w:val="12"/>
      <w:numFmt w:val="bullet"/>
      <w:lvlText w:val="-"/>
      <w:lvlJc w:val="left"/>
      <w:pPr>
        <w:ind w:left="7140" w:hanging="5160"/>
      </w:pPr>
      <w:rPr>
        <w:rFonts w:ascii="Candara" w:eastAsia="Times New Roman" w:hAnsi="Candara" w:cs="AL-Mohanad Bold"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340FED"/>
    <w:multiLevelType w:val="hybridMultilevel"/>
    <w:tmpl w:val="95545F88"/>
    <w:lvl w:ilvl="0" w:tplc="04090001">
      <w:start w:val="1"/>
      <w:numFmt w:val="bullet"/>
      <w:lvlText w:val=""/>
      <w:lvlJc w:val="left"/>
      <w:pPr>
        <w:ind w:left="720" w:hanging="360"/>
      </w:pPr>
      <w:rPr>
        <w:rFonts w:ascii="Symbol" w:hAnsi="Symbol" w:hint="default"/>
      </w:rPr>
    </w:lvl>
    <w:lvl w:ilvl="1" w:tplc="12DE4050">
      <w:start w:val="1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1AAE28B3"/>
    <w:multiLevelType w:val="hybridMultilevel"/>
    <w:tmpl w:val="33FEDE66"/>
    <w:lvl w:ilvl="0" w:tplc="12DE4050">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90D9D"/>
    <w:multiLevelType w:val="hybridMultilevel"/>
    <w:tmpl w:val="0542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10"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534DF6"/>
    <w:multiLevelType w:val="hybridMultilevel"/>
    <w:tmpl w:val="062AEEB8"/>
    <w:lvl w:ilvl="0" w:tplc="B72CB4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AF7418"/>
    <w:multiLevelType w:val="hybridMultilevel"/>
    <w:tmpl w:val="1C44D4D0"/>
    <w:lvl w:ilvl="0" w:tplc="B72CB4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3"/>
  </w:num>
  <w:num w:numId="2">
    <w:abstractNumId w:val="12"/>
  </w:num>
  <w:num w:numId="3">
    <w:abstractNumId w:val="1"/>
  </w:num>
  <w:num w:numId="4">
    <w:abstractNumId w:val="16"/>
  </w:num>
  <w:num w:numId="5">
    <w:abstractNumId w:val="4"/>
  </w:num>
  <w:num w:numId="6">
    <w:abstractNumId w:val="2"/>
  </w:num>
  <w:num w:numId="7">
    <w:abstractNumId w:val="0"/>
  </w:num>
  <w:num w:numId="8">
    <w:abstractNumId w:val="8"/>
  </w:num>
  <w:num w:numId="9">
    <w:abstractNumId w:val="10"/>
  </w:num>
  <w:num w:numId="10">
    <w:abstractNumId w:val="7"/>
  </w:num>
  <w:num w:numId="11">
    <w:abstractNumId w:val="9"/>
  </w:num>
  <w:num w:numId="12">
    <w:abstractNumId w:val="15"/>
  </w:num>
  <w:num w:numId="13">
    <w:abstractNumId w:val="6"/>
  </w:num>
  <w:num w:numId="14">
    <w:abstractNumId w:val="3"/>
  </w:num>
  <w:num w:numId="15">
    <w:abstractNumId w:val="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093F83"/>
    <w:rsid w:val="000E3AB9"/>
    <w:rsid w:val="00100643"/>
    <w:rsid w:val="001221AA"/>
    <w:rsid w:val="001A1C73"/>
    <w:rsid w:val="001D67C7"/>
    <w:rsid w:val="002A6260"/>
    <w:rsid w:val="002C1C59"/>
    <w:rsid w:val="00310CA3"/>
    <w:rsid w:val="003C75E7"/>
    <w:rsid w:val="0042109D"/>
    <w:rsid w:val="00476713"/>
    <w:rsid w:val="00567F6F"/>
    <w:rsid w:val="00590FFF"/>
    <w:rsid w:val="005A4C08"/>
    <w:rsid w:val="0066219E"/>
    <w:rsid w:val="00724184"/>
    <w:rsid w:val="007F0D56"/>
    <w:rsid w:val="007F5FA1"/>
    <w:rsid w:val="008B2117"/>
    <w:rsid w:val="00970EBA"/>
    <w:rsid w:val="009B32C3"/>
    <w:rsid w:val="00A421CE"/>
    <w:rsid w:val="00A57D8E"/>
    <w:rsid w:val="00AA70E5"/>
    <w:rsid w:val="00AC39A5"/>
    <w:rsid w:val="00B03CB0"/>
    <w:rsid w:val="00B5658F"/>
    <w:rsid w:val="00B77132"/>
    <w:rsid w:val="00BA5DF7"/>
    <w:rsid w:val="00BB4BCB"/>
    <w:rsid w:val="00BB6187"/>
    <w:rsid w:val="00BD3475"/>
    <w:rsid w:val="00BE6514"/>
    <w:rsid w:val="00C25FDC"/>
    <w:rsid w:val="00D5588E"/>
    <w:rsid w:val="00DD49E5"/>
    <w:rsid w:val="00DE0BB5"/>
    <w:rsid w:val="00E317B5"/>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342F6"/>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link w:val="Titre1Car"/>
    <w:uiPriority w:val="9"/>
    <w:qFormat/>
    <w:rsid w:val="00093F83"/>
    <w:pPr>
      <w:bidi w:val="0"/>
      <w:spacing w:before="100" w:beforeAutospacing="1" w:after="100" w:afterAutospacing="1"/>
      <w:outlineLvl w:val="0"/>
    </w:pPr>
    <w:rPr>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 w:type="character" w:customStyle="1" w:styleId="apple-converted-space">
    <w:name w:val="apple-converted-space"/>
    <w:basedOn w:val="Policepardfaut"/>
    <w:rsid w:val="00093F83"/>
  </w:style>
  <w:style w:type="character" w:styleId="Accentuation">
    <w:name w:val="Emphasis"/>
    <w:basedOn w:val="Policepardfaut"/>
    <w:uiPriority w:val="20"/>
    <w:qFormat/>
    <w:rsid w:val="00093F83"/>
    <w:rPr>
      <w:i/>
      <w:iCs/>
    </w:rPr>
  </w:style>
  <w:style w:type="character" w:customStyle="1" w:styleId="Titre1Car">
    <w:name w:val="Titre 1 Car"/>
    <w:basedOn w:val="Policepardfaut"/>
    <w:link w:val="Titre1"/>
    <w:uiPriority w:val="9"/>
    <w:rsid w:val="00093F83"/>
    <w:rPr>
      <w:rFonts w:ascii="Times New Roman" w:eastAsia="Times New Roman" w:hAnsi="Times New Roman" w:cs="Times New Roman"/>
      <w:b/>
      <w:bCs/>
      <w:kern w:val="36"/>
      <w:sz w:val="48"/>
      <w:szCs w:val="48"/>
      <w:lang w:eastAsia="fr-FR"/>
    </w:rPr>
  </w:style>
  <w:style w:type="character" w:customStyle="1" w:styleId="a-size-large">
    <w:name w:val="a-size-large"/>
    <w:basedOn w:val="Policepardfaut"/>
    <w:rsid w:val="00093F83"/>
  </w:style>
  <w:style w:type="paragraph" w:customStyle="1" w:styleId="bodytext">
    <w:name w:val="bodytext"/>
    <w:basedOn w:val="Normal"/>
    <w:rsid w:val="00C25FDC"/>
    <w:pPr>
      <w:bidi w:val="0"/>
      <w:spacing w:before="100" w:beforeAutospacing="1" w:after="100" w:afterAutospacing="1"/>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255ED-AA67-4797-A049-1F354C0B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766</Words>
  <Characters>4372</Characters>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2021-02-11T09:47:00Z</dcterms:modified>
</cp:coreProperties>
</file>