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DE0BB5">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tcPr>
          <w:p w:rsidR="00EE35FA" w:rsidRPr="00D572DD" w:rsidRDefault="00D572DD" w:rsidP="00B5658F">
            <w:pPr>
              <w:spacing w:line="360" w:lineRule="auto"/>
              <w:rPr>
                <w:rFonts w:ascii="Candara" w:hAnsi="Candara"/>
                <w:bCs/>
                <w:caps/>
                <w:lang w:eastAsia="fr-CA" w:bidi="ar-MA"/>
              </w:rPr>
            </w:pPr>
            <w:r w:rsidRPr="00D572DD">
              <w:rPr>
                <w:rFonts w:ascii="Candara" w:hAnsi="Candara" w:hint="eastAsia"/>
                <w:bCs/>
                <w:caps/>
                <w:rtl/>
                <w:lang w:eastAsia="fr-CA" w:bidi="ar-MA"/>
              </w:rPr>
              <w:t>مبادئ</w:t>
            </w:r>
            <w:r w:rsidRPr="00D572DD">
              <w:rPr>
                <w:rFonts w:ascii="Candara" w:hAnsi="Candara" w:hint="cs"/>
                <w:bCs/>
                <w:caps/>
                <w:rtl/>
                <w:lang w:eastAsia="fr-CA" w:bidi="ar-MA"/>
              </w:rPr>
              <w:t xml:space="preserve"> التفكير الفلسفي والفكر النقدي</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D572DD" w:rsidRDefault="00D572DD" w:rsidP="00D5588E">
            <w:pPr>
              <w:pStyle w:val="Paragraphedeliste"/>
              <w:spacing w:line="240" w:lineRule="exact"/>
              <w:ind w:left="0"/>
              <w:rPr>
                <w:rFonts w:ascii="Candara" w:hAnsi="Candara"/>
                <w:bCs/>
                <w:color w:val="FF0000"/>
                <w:lang w:eastAsia="fr-FR" w:bidi="ar-MA"/>
              </w:rPr>
            </w:pPr>
            <w:r w:rsidRPr="00D572DD">
              <w:rPr>
                <w:rFonts w:ascii="Candara" w:hAnsi="Candara" w:hint="eastAsia"/>
                <w:bCs/>
                <w:caps/>
                <w:rtl/>
                <w:lang w:eastAsia="fr-CA" w:bidi="ar-MA"/>
              </w:rPr>
              <w:t>مبادئ</w:t>
            </w:r>
            <w:r w:rsidRPr="00D572DD">
              <w:rPr>
                <w:rFonts w:ascii="Candara" w:hAnsi="Candara" w:hint="cs"/>
                <w:bCs/>
                <w:caps/>
                <w:rtl/>
                <w:lang w:eastAsia="fr-CA" w:bidi="ar-MA"/>
              </w:rPr>
              <w:t xml:space="preserve"> التفكير الفلسفي والفكر النقدي</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D572DD" w:rsidRDefault="00D572DD" w:rsidP="00D5588E">
            <w:pPr>
              <w:pStyle w:val="Paragraphedeliste"/>
              <w:spacing w:line="240" w:lineRule="exact"/>
              <w:ind w:left="0"/>
              <w:rPr>
                <w:rFonts w:ascii="Candara" w:hAnsi="Candara"/>
                <w:b/>
                <w:bCs/>
                <w:lang w:eastAsia="fr-FR" w:bidi="ar-MA"/>
              </w:rPr>
            </w:pPr>
            <w:r w:rsidRPr="00D572DD">
              <w:rPr>
                <w:rFonts w:ascii="Candara" w:hAnsi="Candara" w:hint="cs"/>
                <w:b/>
                <w:bCs/>
                <w:rtl/>
                <w:lang w:eastAsia="fr-FR" w:bidi="ar-MA"/>
              </w:rPr>
              <w:t>الفصل 1 أو الفصل 3</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D572DD" w:rsidRDefault="00D572DD" w:rsidP="00D5588E">
            <w:pPr>
              <w:pStyle w:val="Paragraphedeliste"/>
              <w:spacing w:line="240" w:lineRule="exact"/>
              <w:ind w:left="0"/>
              <w:rPr>
                <w:rFonts w:ascii="Candara" w:hAnsi="Candara"/>
                <w:b/>
                <w:bCs/>
                <w:lang w:eastAsia="fr-FR" w:bidi="ar-MA"/>
              </w:rPr>
            </w:pPr>
            <w:r w:rsidRPr="00D572DD">
              <w:rPr>
                <w:rFonts w:ascii="Candara" w:hAnsi="Candara" w:hint="cs"/>
                <w:b/>
                <w:bCs/>
                <w:rtl/>
                <w:lang w:eastAsia="fr-FR" w:bidi="ar-MA"/>
              </w:rPr>
              <w:t xml:space="preserve">وحدة </w:t>
            </w:r>
            <w:r w:rsidR="00266482">
              <w:rPr>
                <w:rFonts w:ascii="Candara" w:hAnsi="Candara" w:hint="cs"/>
                <w:b/>
                <w:bCs/>
                <w:rtl/>
                <w:lang w:eastAsia="fr-FR" w:bidi="ar-MA"/>
              </w:rPr>
              <w:t>عامة لل</w:t>
            </w:r>
            <w:bookmarkStart w:id="0" w:name="_GoBack"/>
            <w:bookmarkEnd w:id="0"/>
            <w:r w:rsidRPr="00D572DD">
              <w:rPr>
                <w:rFonts w:ascii="Candara" w:hAnsi="Candara" w:hint="cs"/>
                <w:b/>
                <w:bCs/>
                <w:rtl/>
                <w:lang w:eastAsia="fr-FR" w:bidi="ar-MA"/>
              </w:rPr>
              <w:t>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D572DD" w:rsidRDefault="00D572DD"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3 نقاط</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E35FA" w:rsidRPr="00D572DD" w:rsidRDefault="00D572DD" w:rsidP="00D572DD">
            <w:pPr>
              <w:pStyle w:val="Paragraphedeliste"/>
              <w:numPr>
                <w:ilvl w:val="0"/>
                <w:numId w:val="13"/>
              </w:numPr>
              <w:spacing w:line="360" w:lineRule="auto"/>
              <w:ind w:left="408"/>
              <w:jc w:val="both"/>
              <w:rPr>
                <w:rFonts w:ascii="Candara" w:hAnsi="Candara"/>
                <w:b/>
                <w:bCs/>
                <w:lang w:eastAsia="fr-FR" w:bidi="ar-MA"/>
              </w:rPr>
            </w:pPr>
            <w:r w:rsidRPr="00F334C8">
              <w:rPr>
                <w:rFonts w:ascii="Candara" w:hAnsi="Candara" w:hint="cs"/>
                <w:b/>
                <w:bCs/>
                <w:color w:val="000000" w:themeColor="text1"/>
                <w:rtl/>
                <w:lang w:eastAsia="fr-FR" w:bidi="ar-MA"/>
              </w:rPr>
              <w:t>تعتبر هذه الوحدة قاعدية بالنسبة للتفكير الفلسفي وخصائصه المعرفية، فهي شاملة لآليات التفكير الفلسفي وأهم مبادئه. فهي أساسية قبل المرور لوحدات أخرى.</w:t>
            </w: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D572DD">
        <w:trPr>
          <w:trHeight w:val="1417"/>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Pr="00D572DD" w:rsidRDefault="00EE35FA" w:rsidP="007E0EA4">
            <w:pPr>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572DD" w:rsidRDefault="00D572DD" w:rsidP="00D572DD">
            <w:pPr>
              <w:pStyle w:val="Paragraphedeliste"/>
              <w:numPr>
                <w:ilvl w:val="0"/>
                <w:numId w:val="14"/>
              </w:numPr>
              <w:spacing w:line="360" w:lineRule="auto"/>
              <w:ind w:left="408"/>
              <w:jc w:val="both"/>
              <w:rPr>
                <w:rFonts w:ascii="Candara" w:hAnsi="Candara" w:cs="Verdana,Bold"/>
                <w:b/>
                <w:bCs/>
                <w:lang w:eastAsia="fr-FR" w:bidi="ar-MA"/>
              </w:rPr>
            </w:pPr>
            <w:r w:rsidRPr="00D572DD">
              <w:rPr>
                <w:rFonts w:ascii="Candara" w:hAnsi="Candara" w:cstheme="minorBidi" w:hint="cs"/>
                <w:b/>
                <w:bCs/>
                <w:rtl/>
                <w:lang w:eastAsia="fr-FR" w:bidi="ar-MA"/>
              </w:rPr>
              <w:t xml:space="preserve">التعريف بالفلسفة كمجال معرفي له مقوماته وأسسه، التي منأهمها هو طرح السؤال أمام كل القضايا والاشكالات التي تبدو للعقل الواجب التفكير فيها، وكيفما كانت طبيعتها دينية أو اجتماعية أو سياسية.... فالسؤال الفلسفي هو استجابة للفطرة البشرية في فهم عمق الأمور أي كيفية اشتغالها. لذلك فالمجال يعرف بطبيعة الفلسفة وفي نفس الوقت يمد الطالب بآليات البحث والتحليل التي </w:t>
            </w:r>
            <w:proofErr w:type="gramStart"/>
            <w:r w:rsidRPr="00D572DD">
              <w:rPr>
                <w:rFonts w:ascii="Candara" w:hAnsi="Candara" w:cstheme="minorBidi" w:hint="cs"/>
                <w:b/>
                <w:bCs/>
                <w:rtl/>
                <w:lang w:eastAsia="fr-FR" w:bidi="ar-MA"/>
              </w:rPr>
              <w:t>اشرنا</w:t>
            </w:r>
            <w:proofErr w:type="gramEnd"/>
            <w:r w:rsidRPr="00D572DD">
              <w:rPr>
                <w:rFonts w:ascii="Candara" w:hAnsi="Candara" w:cstheme="minorBidi" w:hint="cs"/>
                <w:b/>
                <w:bCs/>
                <w:rtl/>
                <w:lang w:eastAsia="fr-FR" w:bidi="ar-MA"/>
              </w:rPr>
              <w:t xml:space="preserve"> إليها بالفكر النقدي.  كما يفتح له من جهة ثانية،</w:t>
            </w:r>
            <w:r w:rsidRPr="00D572DD">
              <w:rPr>
                <w:rFonts w:ascii="Candara" w:hAnsi="Candara" w:cstheme="minorBidi"/>
                <w:b/>
                <w:bCs/>
                <w:lang w:eastAsia="fr-FR" w:bidi="ar-MA"/>
              </w:rPr>
              <w:t xml:space="preserve"> </w:t>
            </w:r>
            <w:r w:rsidRPr="00D572DD">
              <w:rPr>
                <w:rFonts w:ascii="Candara" w:hAnsi="Candara" w:cstheme="minorBidi" w:hint="eastAsia"/>
                <w:b/>
                <w:bCs/>
                <w:rtl/>
                <w:lang w:eastAsia="fr-FR" w:bidi="ar-MA"/>
              </w:rPr>
              <w:t>إمكانية</w:t>
            </w:r>
            <w:r w:rsidRPr="00D572DD">
              <w:rPr>
                <w:rFonts w:ascii="Candara" w:hAnsi="Candara" w:cstheme="minorBidi" w:hint="cs"/>
                <w:b/>
                <w:bCs/>
                <w:rtl/>
                <w:lang w:eastAsia="fr-FR" w:bidi="ar-MA"/>
              </w:rPr>
              <w:t xml:space="preserve"> فهم العلاقة التي ربطت قديما وما تزال، الفلسفة بمختلف العلوم. فالوقوف على هذه العلاقة يفتح أفق تفكير </w:t>
            </w:r>
            <w:proofErr w:type="gramStart"/>
            <w:r w:rsidRPr="00D572DD">
              <w:rPr>
                <w:rFonts w:ascii="Candara" w:hAnsi="Candara" w:cstheme="minorBidi" w:hint="cs"/>
                <w:b/>
                <w:bCs/>
                <w:rtl/>
                <w:lang w:eastAsia="fr-FR" w:bidi="ar-MA"/>
              </w:rPr>
              <w:t>الطالب  كل</w:t>
            </w:r>
            <w:proofErr w:type="gramEnd"/>
            <w:r w:rsidRPr="00D572DD">
              <w:rPr>
                <w:rFonts w:ascii="Candara" w:hAnsi="Candara" w:cstheme="minorBidi" w:hint="cs"/>
                <w:b/>
                <w:bCs/>
                <w:rtl/>
                <w:lang w:eastAsia="fr-FR" w:bidi="ar-MA"/>
              </w:rPr>
              <w:t xml:space="preserve"> في مجال  تخصصه</w:t>
            </w:r>
            <w:r w:rsidRPr="00D572DD">
              <w:rPr>
                <w:rFonts w:ascii="Candara" w:hAnsi="Candara" w:cstheme="minorBidi"/>
                <w:b/>
                <w:bCs/>
                <w:lang w:eastAsia="fr-FR" w:bidi="ar-MA"/>
              </w:rPr>
              <w:t xml:space="preserve"> </w:t>
            </w:r>
            <w:r w:rsidRPr="00D572DD">
              <w:rPr>
                <w:rFonts w:ascii="Candara" w:hAnsi="Candara" w:cstheme="minorBidi" w:hint="cs"/>
                <w:b/>
                <w:bCs/>
                <w:rtl/>
                <w:lang w:eastAsia="fr-FR" w:bidi="ar-MA"/>
              </w:rPr>
              <w:t xml:space="preserve">على العلاقة التي تربط مختلف مجالات </w:t>
            </w:r>
            <w:r w:rsidRPr="00D572DD">
              <w:rPr>
                <w:rFonts w:ascii="Candara" w:hAnsi="Candara" w:cstheme="minorBidi" w:hint="cs"/>
                <w:b/>
                <w:bCs/>
                <w:rtl/>
                <w:lang w:eastAsia="fr-FR" w:bidi="ar-MA"/>
              </w:rPr>
              <w:lastRenderedPageBreak/>
              <w:t xml:space="preserve">المعرفة على رأسها الفلسفة، والتي عادة ما تظل مجهولة أو لا يهتم بها في حقول العلوم الدقيقة أو غيرها. </w:t>
            </w:r>
          </w:p>
          <w:p w:rsidR="00EE35FA" w:rsidRPr="00D572DD" w:rsidRDefault="00EE35FA" w:rsidP="00D572DD">
            <w:pPr>
              <w:pStyle w:val="Paragraphedeliste"/>
              <w:spacing w:line="360" w:lineRule="auto"/>
              <w:ind w:left="408"/>
              <w:jc w:val="both"/>
              <w:rPr>
                <w:rFonts w:ascii="Candara" w:hAnsi="Candara" w:cs="Verdana,Bold"/>
                <w:b/>
                <w:bCs/>
                <w:lang w:eastAsia="fr-FR" w:bidi="ar-MA"/>
              </w:rPr>
            </w:pPr>
          </w:p>
          <w:p w:rsidR="00EE35FA" w:rsidRPr="00D572DD" w:rsidRDefault="00EE35FA" w:rsidP="00D572DD">
            <w:pPr>
              <w:pStyle w:val="Paragraphedeliste"/>
              <w:spacing w:line="360" w:lineRule="auto"/>
              <w:ind w:left="408"/>
              <w:jc w:val="both"/>
              <w:rPr>
                <w:rFonts w:ascii="Candara" w:hAnsi="Candara" w:cs="Verdana,Bold"/>
                <w:b/>
                <w:bCs/>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D572DD" w:rsidRPr="00D572DD" w:rsidRDefault="00D572DD" w:rsidP="00D572DD">
            <w:pPr>
              <w:pStyle w:val="Paragraphedeliste"/>
              <w:numPr>
                <w:ilvl w:val="0"/>
                <w:numId w:val="15"/>
              </w:numPr>
              <w:spacing w:line="276" w:lineRule="auto"/>
              <w:jc w:val="both"/>
              <w:rPr>
                <w:rFonts w:ascii="Candara" w:hAnsi="Candara"/>
                <w:b/>
                <w:bCs/>
                <w:rtl/>
                <w:lang w:bidi="ar-MA"/>
              </w:rPr>
            </w:pPr>
            <w:r w:rsidRPr="00D572DD">
              <w:rPr>
                <w:rFonts w:ascii="Candara" w:hAnsi="Candara" w:hint="cs"/>
                <w:b/>
                <w:bCs/>
                <w:rtl/>
                <w:lang w:bidi="ar-MA"/>
              </w:rPr>
              <w:t>التعريف بالفلسفة لغة واصطلاحا.</w:t>
            </w:r>
          </w:p>
          <w:p w:rsidR="00D572DD" w:rsidRPr="00D572DD" w:rsidRDefault="00D572DD" w:rsidP="00D572DD">
            <w:pPr>
              <w:pStyle w:val="Paragraphedeliste"/>
              <w:numPr>
                <w:ilvl w:val="0"/>
                <w:numId w:val="15"/>
              </w:numPr>
              <w:spacing w:line="276" w:lineRule="auto"/>
              <w:jc w:val="both"/>
              <w:rPr>
                <w:rFonts w:ascii="Candara" w:hAnsi="Candara"/>
                <w:b/>
                <w:bCs/>
                <w:rtl/>
                <w:lang w:bidi="ar-MA"/>
              </w:rPr>
            </w:pPr>
            <w:r w:rsidRPr="00D572DD">
              <w:rPr>
                <w:rFonts w:ascii="Candara" w:hAnsi="Candara" w:hint="cs"/>
                <w:b/>
                <w:bCs/>
                <w:rtl/>
                <w:lang w:bidi="ar-MA"/>
              </w:rPr>
              <w:t xml:space="preserve">أسس التفكير الفلسفي عامة </w:t>
            </w:r>
            <w:r w:rsidRPr="00D572DD">
              <w:rPr>
                <w:rFonts w:ascii="Candara" w:hAnsi="Candara"/>
                <w:b/>
                <w:bCs/>
                <w:rtl/>
                <w:lang w:bidi="ar-MA"/>
              </w:rPr>
              <w:t>(</w:t>
            </w:r>
            <w:r w:rsidRPr="00D572DD">
              <w:rPr>
                <w:rFonts w:ascii="Candara" w:hAnsi="Candara" w:hint="cs"/>
                <w:b/>
                <w:bCs/>
                <w:rtl/>
                <w:lang w:bidi="ar-MA"/>
              </w:rPr>
              <w:t>أي ما يجعل الخطاب الفلسفي يتميز على غيره من الخطابات العلمية مثلا أو الأدبية)</w:t>
            </w:r>
          </w:p>
          <w:p w:rsidR="00D572DD" w:rsidRPr="00D572DD" w:rsidRDefault="00D572DD" w:rsidP="00D572DD">
            <w:pPr>
              <w:pStyle w:val="Paragraphedeliste"/>
              <w:numPr>
                <w:ilvl w:val="0"/>
                <w:numId w:val="15"/>
              </w:numPr>
              <w:spacing w:line="276" w:lineRule="auto"/>
              <w:jc w:val="both"/>
              <w:rPr>
                <w:rFonts w:ascii="Candara" w:hAnsi="Candara"/>
                <w:b/>
                <w:bCs/>
                <w:rtl/>
                <w:lang w:bidi="ar-MA"/>
              </w:rPr>
            </w:pPr>
            <w:r w:rsidRPr="00D572DD">
              <w:rPr>
                <w:rFonts w:ascii="Candara" w:hAnsi="Candara" w:hint="cs"/>
                <w:b/>
                <w:bCs/>
                <w:rtl/>
                <w:lang w:bidi="ar-MA"/>
              </w:rPr>
              <w:t>مفهوم النقد وأسس التفكير النقدي الفلسفي. (أي خصوصية الخطاب النقدي الفلسفي)</w:t>
            </w:r>
          </w:p>
          <w:p w:rsidR="00D572DD" w:rsidRPr="00D572DD" w:rsidRDefault="00D572DD" w:rsidP="00D572DD">
            <w:pPr>
              <w:pStyle w:val="Paragraphedeliste"/>
              <w:numPr>
                <w:ilvl w:val="0"/>
                <w:numId w:val="15"/>
              </w:numPr>
              <w:spacing w:line="276" w:lineRule="auto"/>
              <w:jc w:val="both"/>
              <w:rPr>
                <w:rFonts w:ascii="Candara" w:hAnsi="Candara"/>
                <w:b/>
                <w:bCs/>
                <w:rtl/>
                <w:lang w:bidi="ar-MA"/>
              </w:rPr>
            </w:pPr>
            <w:r w:rsidRPr="00D572DD">
              <w:rPr>
                <w:rFonts w:ascii="Candara" w:hAnsi="Candara" w:hint="cs"/>
                <w:b/>
                <w:bCs/>
                <w:rtl/>
                <w:lang w:bidi="ar-MA"/>
              </w:rPr>
              <w:t xml:space="preserve">الفلسفة وعلاقتها بالحقول المعرفية، قديما وحديثا.  </w:t>
            </w: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D572DD" w:rsidRPr="00D572DD" w:rsidRDefault="00D572DD" w:rsidP="00D572DD">
            <w:pPr>
              <w:pStyle w:val="Paragraphedeliste"/>
              <w:numPr>
                <w:ilvl w:val="0"/>
                <w:numId w:val="16"/>
              </w:numPr>
              <w:spacing w:line="360" w:lineRule="auto"/>
              <w:jc w:val="both"/>
              <w:rPr>
                <w:rFonts w:ascii="Candara" w:hAnsi="Candara"/>
                <w:b/>
                <w:bCs/>
                <w:rtl/>
                <w:lang w:bidi="ar-MA"/>
              </w:rPr>
            </w:pPr>
            <w:r w:rsidRPr="00D572DD">
              <w:rPr>
                <w:rFonts w:ascii="Candara" w:hAnsi="Candara" w:hint="cs"/>
                <w:b/>
                <w:bCs/>
                <w:rtl/>
                <w:lang w:bidi="ar-MA"/>
              </w:rPr>
              <w:t>اقتراح مواضيع بحث تتعلق بالفلسفة ووظيفتها المعرفية، يقوم بها الطالب</w:t>
            </w:r>
          </w:p>
          <w:p w:rsidR="00D572DD" w:rsidRPr="00D572DD" w:rsidRDefault="00D572DD" w:rsidP="00D572DD">
            <w:pPr>
              <w:pStyle w:val="Paragraphedeliste"/>
              <w:numPr>
                <w:ilvl w:val="0"/>
                <w:numId w:val="16"/>
              </w:numPr>
              <w:spacing w:line="360" w:lineRule="auto"/>
              <w:jc w:val="both"/>
              <w:rPr>
                <w:rFonts w:ascii="Candara" w:hAnsi="Candara"/>
                <w:b/>
                <w:bCs/>
                <w:rtl/>
                <w:lang w:bidi="ar-MA"/>
              </w:rPr>
            </w:pPr>
            <w:r w:rsidRPr="00D572DD">
              <w:rPr>
                <w:rFonts w:ascii="Candara" w:hAnsi="Candara" w:hint="cs"/>
                <w:b/>
                <w:bCs/>
                <w:rtl/>
                <w:lang w:bidi="ar-MA"/>
              </w:rPr>
              <w:lastRenderedPageBreak/>
              <w:t xml:space="preserve">ضرورة الاستعانة بالجهاز العاكس بالنسبة </w:t>
            </w:r>
            <w:r w:rsidRPr="00D572DD">
              <w:rPr>
                <w:rFonts w:ascii="Candara" w:hAnsi="Candara" w:hint="eastAsia"/>
                <w:b/>
                <w:bCs/>
                <w:rtl/>
                <w:lang w:bidi="ar-MA"/>
              </w:rPr>
              <w:t>للأستاذ</w:t>
            </w:r>
            <w:r w:rsidRPr="00D572DD">
              <w:rPr>
                <w:rFonts w:ascii="Candara" w:hAnsi="Candara" w:hint="cs"/>
                <w:b/>
                <w:bCs/>
                <w:rtl/>
                <w:lang w:bidi="ar-MA"/>
              </w:rPr>
              <w:t xml:space="preserve"> والطالب. لأن وظيفة البصر والصورة في عملية التلقي أصبحت واقعا.</w:t>
            </w:r>
          </w:p>
          <w:p w:rsidR="00310CA3" w:rsidRPr="00D572DD" w:rsidRDefault="00D572DD" w:rsidP="00D572DD">
            <w:pPr>
              <w:pStyle w:val="Paragraphedeliste"/>
              <w:spacing w:line="360" w:lineRule="auto"/>
              <w:jc w:val="both"/>
              <w:rPr>
                <w:rFonts w:ascii="Candara" w:hAnsi="Candara"/>
                <w:b/>
                <w:bCs/>
                <w:lang w:bidi="ar-MA"/>
              </w:rPr>
            </w:pPr>
            <w:r w:rsidRPr="00D572DD">
              <w:rPr>
                <w:rFonts w:ascii="Candara" w:hAnsi="Candara" w:hint="cs"/>
                <w:b/>
                <w:bCs/>
                <w:rtl/>
                <w:lang w:bidi="ar-MA"/>
              </w:rPr>
              <w:t xml:space="preserve"> جعل الدرس أو المحاضرة يتم عن طريق طرح أسئلة تصب في اتجاه محاور المادة، واشراك الطالب في مناقشتها</w:t>
            </w: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D572DD">
        <w:trPr>
          <w:trHeight w:val="891"/>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D572DD" w:rsidRPr="00D572DD" w:rsidRDefault="00D572DD" w:rsidP="00D572DD">
            <w:pPr>
              <w:pStyle w:val="Paragraphedeliste"/>
              <w:numPr>
                <w:ilvl w:val="0"/>
                <w:numId w:val="17"/>
              </w:numPr>
              <w:rPr>
                <w:rFonts w:ascii="Candara" w:hAnsi="Candara"/>
                <w:b/>
                <w:bCs/>
                <w:sz w:val="16"/>
                <w:szCs w:val="16"/>
                <w:lang w:bidi="ar-MA"/>
              </w:rPr>
            </w:pPr>
            <w:r w:rsidRPr="00D572DD">
              <w:rPr>
                <w:rFonts w:ascii="Candara" w:hAnsi="Candara" w:hint="cs"/>
                <w:b/>
                <w:bCs/>
                <w:rtl/>
                <w:lang w:bidi="ar-MA"/>
              </w:rPr>
              <w:t>تقديم بحوث ومداخلات تهيئ سابقا حول كل محور من قبل الطالب.</w:t>
            </w:r>
          </w:p>
          <w:p w:rsidR="00D572DD" w:rsidRDefault="00D572DD" w:rsidP="00D572DD">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D572DD" w:rsidP="00D572DD">
            <w:pPr>
              <w:pStyle w:val="Corpsdetexte"/>
              <w:bidi/>
              <w:ind w:left="360"/>
              <w:rPr>
                <w:rFonts w:ascii="Candara" w:hAnsi="Candara"/>
                <w:b/>
                <w:bCs w:val="0"/>
              </w:rPr>
            </w:pPr>
            <w:r>
              <w:rPr>
                <w:rFonts w:ascii="Wingdings" w:hAnsi="Wingdings"/>
                <w:bCs w:val="0"/>
                <w:highlight w:val="lightGray"/>
              </w:rPr>
              <w:sym w:font="Wingdings" w:char="F078"/>
            </w:r>
            <w:r w:rsidR="00567F6F"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567F6F" w:rsidP="00567F6F">
            <w:pPr>
              <w:pStyle w:val="Corpsdetexte"/>
              <w:numPr>
                <w:ilvl w:val="0"/>
                <w:numId w:val="3"/>
              </w:numPr>
              <w:bidi/>
              <w:rPr>
                <w:rFonts w:ascii="Candara" w:hAnsi="Candara"/>
                <w:b/>
                <w:bCs w:val="0"/>
                <w:sz w:val="22"/>
                <w:szCs w:val="22"/>
              </w:rPr>
            </w:pPr>
            <w:r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lastRenderedPageBreak/>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D572DD" w:rsidRPr="009D2110" w:rsidRDefault="00D572DD" w:rsidP="00D572DD">
            <w:pPr>
              <w:pStyle w:val="Corpsdetexte"/>
              <w:numPr>
                <w:ilvl w:val="0"/>
                <w:numId w:val="17"/>
              </w:numPr>
              <w:bidi/>
              <w:rPr>
                <w:rFonts w:ascii="Candara" w:hAnsi="Candara"/>
                <w:lang w:bidi="ar-MA"/>
              </w:rPr>
            </w:pPr>
            <w:r w:rsidRPr="009D2110">
              <w:rPr>
                <w:rFonts w:ascii="Candara" w:hAnsi="Candara" w:hint="cs"/>
                <w:rtl/>
                <w:lang w:bidi="ar-MA"/>
              </w:rPr>
              <w:t>اختبار شفوي، يتم وفق الامتحان نهاية الفصل</w:t>
            </w: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D572DD">
        <w:trPr>
          <w:trHeight w:val="2528"/>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D572DD" w:rsidRPr="00D572DD" w:rsidRDefault="00D572DD" w:rsidP="00D572DD">
            <w:pPr>
              <w:pStyle w:val="Corpsdetexte"/>
              <w:numPr>
                <w:ilvl w:val="0"/>
                <w:numId w:val="20"/>
              </w:numPr>
              <w:spacing w:line="360" w:lineRule="auto"/>
              <w:ind w:right="357"/>
              <w:rPr>
                <w:rFonts w:ascii="Candara" w:hAnsi="Candara"/>
                <w:b/>
                <w:bCs w:val="0"/>
                <w:lang w:bidi="ar-MA"/>
              </w:rPr>
            </w:pPr>
            <w:r w:rsidRPr="00D572DD">
              <w:rPr>
                <w:rFonts w:ascii="Candara" w:hAnsi="Candara"/>
                <w:b/>
                <w:bCs w:val="0"/>
                <w:lang w:bidi="ar-MA"/>
              </w:rPr>
              <w:t xml:space="preserve">René </w:t>
            </w:r>
            <w:proofErr w:type="gramStart"/>
            <w:r w:rsidRPr="00D572DD">
              <w:rPr>
                <w:rFonts w:ascii="Candara" w:hAnsi="Candara"/>
                <w:b/>
                <w:bCs w:val="0"/>
                <w:lang w:bidi="ar-MA"/>
              </w:rPr>
              <w:t xml:space="preserve">Descartes, </w:t>
            </w:r>
            <w:r w:rsidRPr="00D572DD">
              <w:rPr>
                <w:rFonts w:ascii="Candara" w:hAnsi="Candara"/>
                <w:b/>
                <w:bCs w:val="0"/>
                <w:i/>
                <w:iCs/>
                <w:lang w:bidi="ar-MA"/>
              </w:rPr>
              <w:t xml:space="preserve"> Les</w:t>
            </w:r>
            <w:proofErr w:type="gramEnd"/>
            <w:r w:rsidRPr="00D572DD">
              <w:rPr>
                <w:rFonts w:ascii="Candara" w:hAnsi="Candara"/>
                <w:b/>
                <w:bCs w:val="0"/>
                <w:i/>
                <w:iCs/>
                <w:lang w:bidi="ar-MA"/>
              </w:rPr>
              <w:t xml:space="preserve"> principes de philosophie</w:t>
            </w:r>
            <w:r w:rsidRPr="00D572DD">
              <w:rPr>
                <w:rFonts w:ascii="Candara" w:hAnsi="Candara"/>
                <w:b/>
                <w:bCs w:val="0"/>
                <w:lang w:bidi="ar-MA"/>
              </w:rPr>
              <w:t> .</w:t>
            </w:r>
          </w:p>
          <w:p w:rsidR="00D572DD" w:rsidRPr="00D572DD" w:rsidRDefault="00D572DD" w:rsidP="00D572DD">
            <w:pPr>
              <w:pStyle w:val="Corpsdetexte"/>
              <w:numPr>
                <w:ilvl w:val="0"/>
                <w:numId w:val="20"/>
              </w:numPr>
              <w:spacing w:line="360" w:lineRule="auto"/>
              <w:ind w:right="357"/>
              <w:rPr>
                <w:rFonts w:ascii="Candara" w:hAnsi="Candara"/>
                <w:b/>
                <w:bCs w:val="0"/>
                <w:lang w:bidi="ar-MA"/>
              </w:rPr>
            </w:pPr>
            <w:r w:rsidRPr="00D572DD">
              <w:rPr>
                <w:rFonts w:ascii="Candara" w:hAnsi="Candara"/>
                <w:b/>
                <w:bCs w:val="0"/>
                <w:lang w:bidi="ar-MA"/>
              </w:rPr>
              <w:t xml:space="preserve">Georges </w:t>
            </w:r>
            <w:proofErr w:type="gramStart"/>
            <w:r w:rsidRPr="00D572DD">
              <w:rPr>
                <w:rFonts w:ascii="Candara" w:hAnsi="Candara"/>
                <w:b/>
                <w:bCs w:val="0"/>
                <w:lang w:bidi="ar-MA"/>
              </w:rPr>
              <w:t>Politzer</w:t>
            </w:r>
            <w:r w:rsidRPr="00D572DD">
              <w:rPr>
                <w:rFonts w:ascii="Candara" w:hAnsi="Candara"/>
                <w:b/>
                <w:bCs w:val="0"/>
                <w:i/>
                <w:iCs/>
                <w:lang w:bidi="ar-MA"/>
              </w:rPr>
              <w:t xml:space="preserve">,   </w:t>
            </w:r>
            <w:proofErr w:type="gramEnd"/>
            <w:r w:rsidRPr="00D572DD">
              <w:rPr>
                <w:rFonts w:ascii="Candara" w:hAnsi="Candara"/>
                <w:b/>
                <w:bCs w:val="0"/>
                <w:i/>
                <w:iCs/>
                <w:lang w:bidi="ar-MA"/>
              </w:rPr>
              <w:t>Principes fondamentaux de la philosophie</w:t>
            </w:r>
            <w:r w:rsidRPr="00D572DD">
              <w:rPr>
                <w:rFonts w:ascii="Candara" w:hAnsi="Candara"/>
                <w:b/>
                <w:bCs w:val="0"/>
                <w:lang w:bidi="ar-MA"/>
              </w:rPr>
              <w:t> </w:t>
            </w:r>
          </w:p>
          <w:p w:rsidR="00D572DD" w:rsidRPr="00D572DD" w:rsidRDefault="00D572DD" w:rsidP="00D572DD">
            <w:pPr>
              <w:pStyle w:val="Corpsdetexte"/>
              <w:numPr>
                <w:ilvl w:val="0"/>
                <w:numId w:val="20"/>
              </w:numPr>
              <w:spacing w:line="360" w:lineRule="auto"/>
              <w:ind w:right="357"/>
              <w:rPr>
                <w:rFonts w:ascii="Candara" w:hAnsi="Candara"/>
                <w:b/>
                <w:bCs w:val="0"/>
                <w:rtl/>
                <w:lang w:bidi="ar-MA"/>
              </w:rPr>
            </w:pPr>
            <w:r w:rsidRPr="00D572DD">
              <w:rPr>
                <w:rFonts w:ascii="Candara" w:hAnsi="Candara"/>
                <w:b/>
                <w:bCs w:val="0"/>
                <w:lang w:bidi="ar-MA"/>
              </w:rPr>
              <w:t xml:space="preserve">Didier </w:t>
            </w:r>
            <w:proofErr w:type="spellStart"/>
            <w:r w:rsidRPr="00D572DD">
              <w:rPr>
                <w:rFonts w:ascii="Candara" w:hAnsi="Candara"/>
                <w:b/>
                <w:bCs w:val="0"/>
                <w:lang w:bidi="ar-MA"/>
              </w:rPr>
              <w:t>Eribon</w:t>
            </w:r>
            <w:proofErr w:type="spellEnd"/>
            <w:r w:rsidRPr="00D572DD">
              <w:rPr>
                <w:rFonts w:ascii="Candara" w:hAnsi="Candara"/>
                <w:b/>
                <w:bCs w:val="0"/>
                <w:lang w:bidi="ar-MA"/>
              </w:rPr>
              <w:t xml:space="preserve">, </w:t>
            </w:r>
            <w:r w:rsidRPr="00D572DD">
              <w:rPr>
                <w:rFonts w:ascii="Candara" w:hAnsi="Candara"/>
                <w:b/>
                <w:bCs w:val="0"/>
                <w:i/>
                <w:iCs/>
                <w:lang w:bidi="ar-MA"/>
              </w:rPr>
              <w:t>Les principes d’une pensée critique</w:t>
            </w:r>
          </w:p>
          <w:p w:rsidR="00D572DD" w:rsidRPr="00D572DD" w:rsidRDefault="00D572DD" w:rsidP="00D572DD">
            <w:pPr>
              <w:pStyle w:val="Corpsdetexte"/>
              <w:numPr>
                <w:ilvl w:val="0"/>
                <w:numId w:val="20"/>
              </w:numPr>
              <w:bidi/>
              <w:spacing w:line="360" w:lineRule="auto"/>
              <w:ind w:right="357"/>
              <w:rPr>
                <w:rFonts w:ascii="Candara" w:hAnsi="Candara"/>
                <w:b/>
                <w:bCs w:val="0"/>
                <w:lang w:bidi="ar-MA"/>
              </w:rPr>
            </w:pPr>
            <w:r w:rsidRPr="00D572DD">
              <w:rPr>
                <w:rFonts w:ascii="Candara" w:hAnsi="Candara" w:hint="cs"/>
                <w:b/>
                <w:bCs w:val="0"/>
                <w:rtl/>
                <w:lang w:bidi="ar-MA"/>
              </w:rPr>
              <w:t xml:space="preserve">ـتريسي بول، وجاري </w:t>
            </w:r>
            <w:proofErr w:type="spellStart"/>
            <w:r w:rsidRPr="00D572DD">
              <w:rPr>
                <w:rFonts w:ascii="Candara" w:hAnsi="Candara" w:hint="cs"/>
                <w:b/>
                <w:bCs w:val="0"/>
                <w:rtl/>
                <w:lang w:bidi="ar-MA"/>
              </w:rPr>
              <w:t>كمب</w:t>
            </w:r>
            <w:proofErr w:type="spellEnd"/>
            <w:r w:rsidRPr="00D572DD">
              <w:rPr>
                <w:rFonts w:ascii="Candara" w:hAnsi="Candara" w:hint="cs"/>
                <w:rtl/>
                <w:lang w:bidi="ar-MA"/>
              </w:rPr>
              <w:t xml:space="preserve">، التفكير النقدي، دليل مختصر، </w:t>
            </w:r>
            <w:r w:rsidRPr="00D572DD">
              <w:rPr>
                <w:rFonts w:ascii="Candara" w:hAnsi="Candara" w:hint="cs"/>
                <w:b/>
                <w:bCs w:val="0"/>
                <w:rtl/>
                <w:lang w:bidi="ar-MA"/>
              </w:rPr>
              <w:t xml:space="preserve">ترجمة عصام </w:t>
            </w:r>
            <w:proofErr w:type="spellStart"/>
            <w:r w:rsidRPr="00D572DD">
              <w:rPr>
                <w:rFonts w:ascii="Candara" w:hAnsi="Candara" w:hint="cs"/>
                <w:b/>
                <w:bCs w:val="0"/>
                <w:rtl/>
                <w:lang w:bidi="ar-MA"/>
              </w:rPr>
              <w:t>زكرياء</w:t>
            </w:r>
            <w:proofErr w:type="spellEnd"/>
            <w:r w:rsidRPr="00D572DD">
              <w:rPr>
                <w:rFonts w:ascii="Candara" w:hAnsi="Candara" w:hint="cs"/>
                <w:b/>
                <w:bCs w:val="0"/>
                <w:rtl/>
                <w:lang w:bidi="ar-MA"/>
              </w:rPr>
              <w:t xml:space="preserve"> جميل.</w:t>
            </w:r>
          </w:p>
          <w:p w:rsidR="00D572DD" w:rsidRPr="00D572DD" w:rsidRDefault="00D572DD" w:rsidP="00D572DD">
            <w:pPr>
              <w:pStyle w:val="Corpsdetexte"/>
              <w:bidi/>
              <w:spacing w:line="360" w:lineRule="auto"/>
              <w:ind w:right="357"/>
              <w:rPr>
                <w:rFonts w:ascii="Candara" w:hAnsi="Candara"/>
                <w:b/>
                <w:bCs w:val="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Sakkal Majalla">
    <w:altName w:val="Times New Roman"/>
    <w:charset w:val="00"/>
    <w:family w:val="auto"/>
    <w:pitch w:val="variable"/>
    <w:sig w:usb0="A0002027" w:usb1="80000000" w:usb2="00000108" w:usb3="00000000" w:csb0="000000D3" w:csb1="00000000"/>
  </w:font>
  <w:font w:name="Verdana,Bold">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F62305"/>
    <w:multiLevelType w:val="hybridMultilevel"/>
    <w:tmpl w:val="6EBE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2937535F"/>
    <w:multiLevelType w:val="hybridMultilevel"/>
    <w:tmpl w:val="593CD9B4"/>
    <w:lvl w:ilvl="0" w:tplc="C5A85F4C">
      <w:start w:val="4"/>
      <w:numFmt w:val="bullet"/>
      <w:lvlText w:val="-"/>
      <w:lvlJc w:val="left"/>
      <w:pPr>
        <w:ind w:left="720" w:hanging="360"/>
      </w:pPr>
      <w:rPr>
        <w:rFonts w:ascii="Arial" w:eastAsia="SimSun" w:hAnsi="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E83D54"/>
    <w:multiLevelType w:val="hybridMultilevel"/>
    <w:tmpl w:val="0EEC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41094B"/>
    <w:multiLevelType w:val="hybridMultilevel"/>
    <w:tmpl w:val="5754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2524F"/>
    <w:multiLevelType w:val="hybridMultilevel"/>
    <w:tmpl w:val="BBCA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12" w15:restartNumberingAfterBreak="0">
    <w:nsid w:val="3A811F88"/>
    <w:multiLevelType w:val="hybridMultilevel"/>
    <w:tmpl w:val="BD0E7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3441A7"/>
    <w:multiLevelType w:val="hybridMultilevel"/>
    <w:tmpl w:val="1B3C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125E3E"/>
    <w:multiLevelType w:val="hybridMultilevel"/>
    <w:tmpl w:val="4BDC9DF0"/>
    <w:lvl w:ilvl="0" w:tplc="9D44E422">
      <w:numFmt w:val="bullet"/>
      <w:lvlText w:val="-"/>
      <w:lvlJc w:val="left"/>
      <w:pPr>
        <w:ind w:left="720" w:hanging="360"/>
      </w:pPr>
      <w:rPr>
        <w:rFonts w:ascii="Candara" w:eastAsia="Times New Roman" w:hAnsi="Candara"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7"/>
  </w:num>
  <w:num w:numId="2">
    <w:abstractNumId w:val="15"/>
  </w:num>
  <w:num w:numId="3">
    <w:abstractNumId w:val="1"/>
  </w:num>
  <w:num w:numId="4">
    <w:abstractNumId w:val="19"/>
  </w:num>
  <w:num w:numId="5">
    <w:abstractNumId w:val="4"/>
  </w:num>
  <w:num w:numId="6">
    <w:abstractNumId w:val="2"/>
  </w:num>
  <w:num w:numId="7">
    <w:abstractNumId w:val="0"/>
  </w:num>
  <w:num w:numId="8">
    <w:abstractNumId w:val="7"/>
  </w:num>
  <w:num w:numId="9">
    <w:abstractNumId w:val="13"/>
  </w:num>
  <w:num w:numId="10">
    <w:abstractNumId w:val="5"/>
  </w:num>
  <w:num w:numId="11">
    <w:abstractNumId w:val="11"/>
  </w:num>
  <w:num w:numId="12">
    <w:abstractNumId w:val="18"/>
  </w:num>
  <w:num w:numId="13">
    <w:abstractNumId w:val="9"/>
  </w:num>
  <w:num w:numId="14">
    <w:abstractNumId w:val="3"/>
  </w:num>
  <w:num w:numId="15">
    <w:abstractNumId w:val="12"/>
  </w:num>
  <w:num w:numId="16">
    <w:abstractNumId w:val="10"/>
  </w:num>
  <w:num w:numId="17">
    <w:abstractNumId w:val="14"/>
  </w:num>
  <w:num w:numId="18">
    <w:abstractNumId w:val="16"/>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A1C73"/>
    <w:rsid w:val="001D67C7"/>
    <w:rsid w:val="00266482"/>
    <w:rsid w:val="002A6260"/>
    <w:rsid w:val="002C1C59"/>
    <w:rsid w:val="00310CA3"/>
    <w:rsid w:val="003C75E7"/>
    <w:rsid w:val="00476713"/>
    <w:rsid w:val="00567F6F"/>
    <w:rsid w:val="00590FFF"/>
    <w:rsid w:val="005A4C08"/>
    <w:rsid w:val="0066219E"/>
    <w:rsid w:val="00724184"/>
    <w:rsid w:val="007F0D56"/>
    <w:rsid w:val="007F5FA1"/>
    <w:rsid w:val="008B2117"/>
    <w:rsid w:val="00970EBA"/>
    <w:rsid w:val="009B32C3"/>
    <w:rsid w:val="00A421CE"/>
    <w:rsid w:val="00A57D8E"/>
    <w:rsid w:val="00AA70E5"/>
    <w:rsid w:val="00AC39A5"/>
    <w:rsid w:val="00B03CB0"/>
    <w:rsid w:val="00B5658F"/>
    <w:rsid w:val="00B77132"/>
    <w:rsid w:val="00BA5DF7"/>
    <w:rsid w:val="00BB4BCB"/>
    <w:rsid w:val="00BB6187"/>
    <w:rsid w:val="00BD3475"/>
    <w:rsid w:val="00BE6514"/>
    <w:rsid w:val="00D5588E"/>
    <w:rsid w:val="00D572DD"/>
    <w:rsid w:val="00DD49E5"/>
    <w:rsid w:val="00DE0BB5"/>
    <w:rsid w:val="00E317B5"/>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8467"/>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9644A-B3D6-45BB-AC2D-1599B3DB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636</Words>
  <Characters>3630</Characters>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2021-02-10T16:58:00Z</dcterms:modified>
</cp:coreProperties>
</file>